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72"/>
          <w:szCs w:val="36"/>
        </w:rPr>
      </w:pPr>
      <w:r>
        <w:rPr>
          <w:rFonts w:hint="eastAsia" w:ascii="宋体" w:hAnsi="宋体"/>
          <w:b/>
          <w:color w:val="FF0000"/>
          <w:sz w:val="72"/>
          <w:szCs w:val="36"/>
        </w:rPr>
        <w:pict>
          <v:shape id="_x0000_i1026" o:spt="136" type="#_x0000_t136" style="height:110.7pt;width:42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仙游县教师进修学校文件" style="font-family:宋体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仙教进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2020］139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460" w:lineRule="exact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89880" cy="635"/>
                <wp:effectExtent l="0" t="13970" r="127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988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.05pt;width:424.4pt;z-index:251658240;mso-width-relative:page;mso-height-relative:page;" filled="f" stroked="t" coordsize="21600,21600" o:gfxdata="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0vj5j1AAAAAYBAAAPAAAAAAAAAAEAIAAAACIAAABkcnMvZG93bnJldi54bWxQSwEC&#10;FAAUAAAACACHTuJArl7yiPgBAADnAwAADgAAAAAAAAABACAAAAAj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eastAsia="方正小标宋简体"/>
          <w:b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/>
          <w:bCs/>
          <w:kern w:val="0"/>
          <w:sz w:val="44"/>
          <w:szCs w:val="44"/>
          <w:lang w:eastAsia="zh-CN"/>
        </w:rPr>
        <w:t>关于公布仙游县</w:t>
      </w:r>
      <w:r>
        <w:rPr>
          <w:rFonts w:hint="eastAsia" w:ascii="方正小标宋简体" w:eastAsia="方正小标宋简体"/>
          <w:b/>
          <w:bCs/>
          <w:kern w:val="0"/>
          <w:sz w:val="44"/>
          <w:szCs w:val="44"/>
          <w:lang w:val="en-US" w:eastAsia="zh-CN"/>
        </w:rPr>
        <w:t>2020年中、高考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bCs/>
          <w:kern w:val="0"/>
          <w:sz w:val="44"/>
          <w:szCs w:val="44"/>
          <w:lang w:val="en-US" w:eastAsia="zh-CN"/>
        </w:rPr>
        <w:t>试题评析征文评选结果的通知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关于开展仙游县2020年中、高考试题评析征文活动的通知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》（仙教进［2020］69号）的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文件精神，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全县各中学共报送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249篇评析征文（初中137篇，高中112篇），其中有效征文223篇（初中122篇，高中101篇）。县教师进修学校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学科专家组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初高中试题评析的有效征文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进行评选，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评出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一等奖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、二等奖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25篇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、三等奖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39篇；高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一等奖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、二等奖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19篇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、三等奖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30篇；获奖征文将汇编成册。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现将评选结果予以公布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（见附件一、二）。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在评选过程中发现以下问题：（1）部分征文存在抄袭现象，查重率超15%，没有提供检索报告，论文格式不符等问题。（2）部分学校没有全学科报送征文，部分初中学校无报送征文(各校征文统计表见附件三、四)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请各校予以重视，避免在今后的相关活动中出现类似问题，征文报送情况和获奖情况将作为学校年终绩效考评的评定依据之一。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仙游县20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中考试题评析征文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评选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获奖统计表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仙游县20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高考试题评析征文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评选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获奖统计表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仙游县2020年中考试题评析征文情况统计表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4.仙游县2020年高考试题评析征文情况统计表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联系人：陈明发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联系电话：13599484575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仙游县教师进修学校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2020年11月13日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0" w:firstLineChars="2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388620</wp:posOffset>
                </wp:positionV>
                <wp:extent cx="57150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0.6pt;height:0pt;width:450pt;z-index:251662336;mso-width-relative:page;mso-height-relative:page;" filled="f" stroked="t" coordsize="21600,21600" o:gfxdata="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vPlmdUAAAAJAQAADwAAAAAAAAABACAAAAAiAAAAZHJzL2Rvd25yZXYueG1sUEsBAhQA&#10;FAAAAAgAh07iQNzBBLr1AQAA5QMAAA4AAAAAAAAAAQAgAAAAJA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388620</wp:posOffset>
                </wp:positionV>
                <wp:extent cx="5715000" cy="49530"/>
                <wp:effectExtent l="0" t="9525" r="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495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0.6pt;height:3.9pt;width:450pt;z-index:251663360;mso-width-relative:page;mso-height-relative:page;" filled="f" stroked="t" coordsize="21600,21600" o:gfxdata="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SOKcNYAAAAJAQAADwAAAAAAAAABACAAAAAiAAAAZHJzL2Rvd25yZXYueG1s&#10;UEsBAhQAFAAAAAgAh07iQCIZUSD6AQAA6QMAAA4AAAAAAAAAAQAgAAAAJQ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仙游县教师进修学校办公室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  <w:sectPr>
          <w:footerReference r:id="rId3" w:type="default"/>
          <w:pgSz w:w="11906" w:h="16838"/>
          <w:pgMar w:top="1270" w:right="1417" w:bottom="127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Times New Roman" w:hAnsi="Times New Roman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b w:val="0"/>
          <w:bCs/>
          <w:sz w:val="24"/>
          <w:szCs w:val="24"/>
          <w:lang w:eastAsia="zh-CN"/>
        </w:rPr>
        <w:t>附件一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</w:rPr>
        <w:t>仙游县20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</w:rPr>
        <w:t>年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  <w:t>中考试题评析征文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</w:rPr>
        <w:t>评选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  <w:t>获奖统计表</w:t>
      </w:r>
    </w:p>
    <w:p>
      <w:pPr>
        <w:spacing w:line="480" w:lineRule="auto"/>
        <w:jc w:val="center"/>
        <w:rPr>
          <w:rFonts w:hint="eastAsia" w:ascii="Times New Roman" w:hAnsi="Times New Roman" w:eastAsia="宋体"/>
          <w:sz w:val="24"/>
          <w:szCs w:val="32"/>
          <w:lang w:eastAsia="zh-CN"/>
        </w:rPr>
      </w:pPr>
      <w:r>
        <w:rPr>
          <w:rFonts w:hint="eastAsia" w:ascii="Times New Roman" w:hAnsi="Times New Roman" w:eastAsia="宋体"/>
          <w:sz w:val="24"/>
          <w:szCs w:val="32"/>
          <w:lang w:eastAsia="zh-CN"/>
        </w:rPr>
        <w:t>一等奖（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13篇</w:t>
      </w:r>
      <w:r>
        <w:rPr>
          <w:rFonts w:hint="eastAsia" w:ascii="Times New Roman" w:hAnsi="Times New Roman" w:eastAsia="宋体"/>
          <w:sz w:val="24"/>
          <w:szCs w:val="32"/>
          <w:lang w:eastAsia="zh-CN"/>
        </w:rPr>
        <w:t>）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727"/>
        <w:gridCol w:w="1576"/>
        <w:gridCol w:w="1333"/>
        <w:gridCol w:w="970"/>
        <w:gridCol w:w="7732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Header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学段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题目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黄剑斌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畅谈疫情下的中考语文——剖析语文考试与时事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吴常清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2020年福建省中考数学试题命题评析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郑丽生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微探究 微创新 彰素养 促教改——2020年福建省初中毕业与高中阶段学校招生考试数学卷第16题评析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黄丽香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2020年福建省中考英语短文填空评析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戴洁莹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2020年福建省中考英语试卷短文填空试题评析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私立一中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刘茜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让英语词汇教学更好地为完形填空服务——2020年福建省中考英语完形填空命题分析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谢雪洪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发展学科核心素养，体现学科育人价值——2020年福建中考英语完形填空试题评析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陆馨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2020年中考道德与法治试题评析——第31题试题评析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道德二中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彭智群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中考历史命题中核心素养之家国情怀的体现——浅析2020年福建中考历史第32题命题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邱慈峰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基于地理核心素养的中考试题研究——以2020年福建地理中考试题31题组为例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郑明纪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从中考压轴题，谈物理科学思维的培养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枫江初级中学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魏建斌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辩清题意 掌握规律 完美答题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tcBorders>
              <w:bottom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27" w:type="dxa"/>
            <w:tcBorders>
              <w:bottom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tcBorders>
              <w:bottom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tcBorders>
              <w:bottom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970" w:type="dxa"/>
            <w:tcBorders>
              <w:bottom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黄志权</w:t>
            </w:r>
          </w:p>
        </w:tc>
        <w:tc>
          <w:tcPr>
            <w:tcW w:w="7732" w:type="dxa"/>
            <w:tcBorders>
              <w:bottom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以核心素养立意命题 引领初中生物学教学——2020年福建省中考基础题的分析和教学建议</w:t>
            </w:r>
          </w:p>
        </w:tc>
        <w:tc>
          <w:tcPr>
            <w:tcW w:w="909" w:type="dxa"/>
            <w:tcBorders>
              <w:bottom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二等奖（25篇）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tcBorders>
              <w:top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27" w:type="dxa"/>
            <w:tcBorders>
              <w:top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学段</w:t>
            </w:r>
          </w:p>
        </w:tc>
        <w:tc>
          <w:tcPr>
            <w:tcW w:w="1576" w:type="dxa"/>
            <w:tcBorders>
              <w:top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333" w:type="dxa"/>
            <w:tcBorders>
              <w:top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970" w:type="dxa"/>
            <w:tcBorders>
              <w:top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7732" w:type="dxa"/>
            <w:tcBorders>
              <w:top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题目</w:t>
            </w:r>
          </w:p>
        </w:tc>
        <w:tc>
          <w:tcPr>
            <w:tcW w:w="909" w:type="dxa"/>
            <w:tcBorders>
              <w:top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蔡新喜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浅析福建省2020年中考语文试题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陈萍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立足语文核心素养，提高学生写作能力——2020年福建省中考作文命题评析与教学对策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陈春香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2020年福建中考语文试题评析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陈建皇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2020年福建中考数学尺规作图题型评析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蔡襄中学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郑元贵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聚焦数学本质 彰显核心素养——以2020年福建省中考数学第25题为例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连朝琴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降低重心考本质，回归原点考能力——评析2020年福建中考数学试题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詹燕平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不忘初心，乐于聆听——2020年福建中考英语听力理解评析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陈丽敏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评析2020福建省中考英语试题短文填空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王仙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2020年福建省中考英语情景交际试题评析与建议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私立一中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傅燕钦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探析中考英语阅读理解测试题——以2020年福建省中考英语阅读理解试题为例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钟媛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立德树人，牢记使命——2020年福建中考英语短文填词试题评析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黄兰萍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一道中考的阅读理解题谈英语核心素养的渗透——2020年福建省中考英语阅读理解试题评析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斜尾中学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林仙惠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聚焦学科核心素养，彰显立德树人——2020年中考英语试题评析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昌山中学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方丽容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浸润化育 铸魂育人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张芳芳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2020年福建省中考道德与法治试题评析——“读·思·达”在中考试题中的运用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冯燕青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以考促教，“教”“学”“考”相长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张秀琴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新时代新长征，永远在路上——2020年福建省中考历史学科第34题试题评析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郑夏雅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2020年福建中考地理试题评析及教学启示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李金渊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基于地理学科核心素养的地理中考试题分析——以2020年福建省中考地理试卷为例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林桦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2020年福建中考物理试卷“电路设计”题型分析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私立一中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林金桥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从中考试题谈电学部分复习教学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郑先锋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浅析新冠病毒背景下的中考试题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闫伟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从中考试题谈立德树人和化学学科思维的培养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林丽萍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2020年福建中考生物健康地生活专题试题评析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私立一中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郑丽燕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夯实基础，突破创新——2020年福建省中考生物试题解析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974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三等奖（39篇）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学段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题目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锦溪中学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刘清仙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中考古诗词鉴赏试题评析与备考策略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华文学校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陈慧芬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2020年福建省中考语文试题分析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陈洪艳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解读2020年福建中考试题《拜谒李时珍》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张慧如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浅析福建省2020年中考语文积累与运用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林静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以尺规作图为前提的中考题探析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昌山中学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陈元金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2020年福建省中考数学应用题评析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林美金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试题评析的导向作用——基于“读思达”的分析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黄丽贞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对中考试卷的分析与思考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华文学校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梁素玉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浅谈“古代数学”背景下的方程教学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庄丽贞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稳中求变，变中求新——2020年福建中考英语完形填空试题评析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陈婷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感受英语人文与创新之美——2020福建中考英语阅读理解的实践与思考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陈冬梅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2020年福建省中考英语试题评析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陈良杉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以生为本，全面提高人文素养——2020年福建中考英语试卷评析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2020年福建省中考英语阅读试题分析及教学策略浅谈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枫亭中学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洪秀爱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以知识为核心，以学科素养为导向——2020年福建省中考英语试题评析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南溪中学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杨金财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重视基础 注重方法 培养能力——中考英语完型填空解题策略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阮鲤群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基于学科核心素养下的2020年福建中考英语完形填空试题评析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余泓君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浅析2020年福建中考英语阅读理解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刘芬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与时俱进 关注热点——2020年福建中考英语短文填空评析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黄建欣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2020年福建中考英语试题分析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黄海丹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聚焦时政热点，注重能力导向——2020年中考道德与法治第29题试题评析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余航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勇于探究 勤于反思——2020年福建省中考道德与法治第29题试题评析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枫江初级中学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丁建聪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立德树人 引导教学——2020年道德与法治中考试题评析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榜头中学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林疆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立德树人，创新发展——2020年福建省中考历史试题评析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私立一中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洪海涛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2020年福建中考历史论述题解析与教学策略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陈仁平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中考历史命题与初中历史课程教学探讨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彭萍萍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2020年福建省中考地理试卷分析及复习备考准备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刘锦武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必备知识与能力并重 价值引领渗透素养培育——以2020年福建省中考地理试题31题为例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杨丽华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2020年福建省中考物理试题评析——关于物理核心素养之科学态度和社会责任的考查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何少冬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对一道2020年福建中考实验题的评析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黄莉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2020年福建中考物理实验探究题热学部分评析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卢理坤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2020年中考化学试题分析与教学建议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严燕燕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浅谈2020年福建省中考化学试卷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戴丽双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融合学科素养，凸显育人价值——福建省2020年中考化学试题分析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私立一中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姜则顺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夯实基础，提升能力——2020年中考化学试题浅析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华文学校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林素芳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一道试题的分析及教学建议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华文学校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郑美榕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基于疫情背景下的生物中考试题命题分析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黄锋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基于生物学核心素养的试题分析及教学实践反思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5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133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9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陈丽群</w:t>
            </w:r>
          </w:p>
        </w:tc>
        <w:tc>
          <w:tcPr>
            <w:tcW w:w="77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聚焦生物热点议题，提高学科核心素养——2020年福建省中考生物试题评析</w:t>
            </w:r>
          </w:p>
        </w:tc>
        <w:tc>
          <w:tcPr>
            <w:tcW w:w="9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rPr>
          <w:rFonts w:hint="eastAsia" w:ascii="Times New Roman" w:hAnsi="Times New Roman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  <w:t>附件二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</w:rPr>
        <w:t>仙游县20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</w:rPr>
        <w:t>年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  <w:t>高考试题评析征文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</w:rPr>
        <w:t>评选</w:t>
      </w:r>
      <w:r>
        <w:rPr>
          <w:rFonts w:hint="eastAsia" w:ascii="Times New Roman" w:hAnsi="Times New Roman" w:eastAsia="宋体" w:cs="宋体"/>
          <w:b w:val="0"/>
          <w:bCs/>
          <w:sz w:val="28"/>
          <w:szCs w:val="28"/>
          <w:lang w:eastAsia="zh-CN"/>
        </w:rPr>
        <w:t>获奖统计表</w:t>
      </w:r>
    </w:p>
    <w:p>
      <w:pPr>
        <w:spacing w:line="480" w:lineRule="auto"/>
        <w:jc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sz w:val="24"/>
          <w:szCs w:val="32"/>
          <w:lang w:eastAsia="zh-CN"/>
        </w:rPr>
        <w:t>一等奖（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12篇</w:t>
      </w:r>
      <w:r>
        <w:rPr>
          <w:rFonts w:hint="eastAsia" w:ascii="Times New Roman" w:hAnsi="Times New Roman" w:eastAsia="宋体"/>
          <w:sz w:val="24"/>
          <w:szCs w:val="32"/>
          <w:lang w:eastAsia="zh-CN"/>
        </w:rPr>
        <w:t>）</w:t>
      </w:r>
    </w:p>
    <w:tbl>
      <w:tblPr>
        <w:tblStyle w:val="4"/>
        <w:tblW w:w="1398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744"/>
        <w:gridCol w:w="1632"/>
        <w:gridCol w:w="1380"/>
        <w:gridCol w:w="924"/>
        <w:gridCol w:w="7680"/>
        <w:gridCol w:w="9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Header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学段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题目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陈淑芳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稳定中有变化——2020年全国语文1卷与新高考语文卷文言文阅读题对比评析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郑名烜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识同构举重若轻   破单调重剑无锋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刘开明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借直观可视破题   携结论必要先行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林青兰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落实立德树人发展核心素养引领中学英语教学——2020年高考英语全国I卷试题评析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吴秀平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2020年全国I卷高考英语试题评析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林梅清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探寻高考新趋势  把准方向育新人——2020年全国文综Ⅰ卷与山东省等级考试对比评析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林阳  林杰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2020年全国I卷文科综合历史试题分析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王莉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核心素养立意下的高考试题评析——以2020年高考全国文综I卷地理36、37试题为例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王育群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2020年高考全国Ⅰ卷物理实验试题评析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邓春辉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凸显核心功能 考查核心知识 强化关键能力——2020年高考全国I卷物理试题评析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榜头中学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李启英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探析高考的“宠儿”——工艺流程题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蔡燕燕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2016-2020年高考全国I卷生物实验试题分析及备考策略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98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二等奖（19篇）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学段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题目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陈剑涵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“稳”中提素养 “变”中促思维——2020年高考语文语言文字运用试题评析及教学指津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杨春兴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创设真实情境 凸显语用能力——2020年高考语文全国I卷与新高考I卷语用部分试题对比评析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林碧霞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高考数学全国卷Ⅰ理科题20、文科题21评析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翁新华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直观意识下之构造法巧解定点问题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许世敬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把握三角命题趋势，正确理解试题价值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郑苏闽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稳中求“新”——浅谈2020年高考英语I卷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林煌忠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句子主导的英语教学模式探讨——以2020年高考英语全国卷I为例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彰显文化自信，坚定爱国情怀——2020年高考英语全国卷语法填空试题评析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郑素洪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学科素养视域下政治高考第39题试题分析及启示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私立一中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戴文雄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抓住主线，夯实基础——2020年高考文综历史试卷感悟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蒋怀敏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依托情景化教学，提高地理课堂复习效率——以2020年高考全国卷地理试题为例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林秀琳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基于高考评价体系下的高考命题解析——以2020年全国I卷36题为例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枫亭中学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陈志岳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2020年高考物理全国I卷与新高考物理的试卷评析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朱丽萍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评析2020全国理综I卷实验题23题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燕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追根溯源 高效备考——2020年高考物理试题评析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李钦赞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2020年山东高考化学无机制备题的评析及备考建议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叶冬丽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基于核心素养对2020年全国I卷第36题评析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蔡丽萍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基于科学思维的2020年高考全国Ⅰ卷理综第30题的评析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林密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2020年全国Ｉ卷第30题命题特点及错例分析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spacing w:line="480" w:lineRule="auto"/>
        <w:jc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三等奖（30篇）</w:t>
      </w:r>
    </w:p>
    <w:tbl>
      <w:tblPr>
        <w:tblStyle w:val="4"/>
        <w:tblW w:w="1398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744"/>
        <w:gridCol w:w="1632"/>
        <w:gridCol w:w="1380"/>
        <w:gridCol w:w="924"/>
        <w:gridCol w:w="7680"/>
        <w:gridCol w:w="9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Header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学段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题目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林菊花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见微知著 行稳致远——从文言文命制看高考评价体系的落实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张义敏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2020年福建省高考作文立意方向比较评析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陈瑾媛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高考语文语言表达效果题解析——抓语言形式，品句子表达效果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陈慧兰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函数与导数中参数问题求解的策略探讨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陈淑娟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一道全国I卷数学高考选择题的评析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刘开明 李锦坤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数学运算核心素养下的差比数列求和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林仁鹤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落实核心素养，渗透数学思想——基于一道高考数列题的思考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余耕峰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核心素养下高中数学三角函数问题有效教学策略探析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苏雅珊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2020年高考英语试题评析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黄国金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2020年高考全国Ⅰ卷英语完形填空命题分析及解题技巧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私立一中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王晶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浅谈2020年高考英语试题特点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张双梅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核心素养下的高中英语写作教学策略探讨——基于2020年全国高考英语Ⅰ卷书面表达题评析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盖尾中学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陈建阳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宏观重基础 微观考能力——2020年高考英语全国Ⅰ卷语法填空题评析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黄建模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凸显时政热点，聚焦能力导向——2020年高考思想政治38题试题评析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私立一中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李青梅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推导类选择题的解题思路及备考建议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郭能明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基于材料 立足能力——2020年文综高考历史全国Ⅱ卷第42题解题探究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吴素霞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深研高考真题，落实立德树人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林颖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对比试题考查方向，思考课堂教学改革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刘锦武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稳中求变 贴近现实 培养素养——以2020年全国</w:t>
            </w:r>
            <w:r>
              <w:rPr>
                <w:rFonts w:hint="eastAsia" w:ascii="Times New Roman" w:hAnsi="Times New Roman" w:eastAsia="宋体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卷36题为例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陈远霞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2020年高考物理评析和2021年备考策略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私立一中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刘林娟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对一道高考试题的解析、拓展与感悟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杨明亭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2020年高考全国卷试卷分析与复习建议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苏婷慧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夯实基础，提升能力——2020年高考物理试题浅析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榜头中学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严瑞航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突显物理核心素养，引导物理本真教育——2020年高考理综全国I卷物理试题评析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肖雪萍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突出融合与竞争，加强关键能力考查——2020年全国理综</w:t>
            </w:r>
            <w:r>
              <w:rPr>
                <w:rFonts w:hint="eastAsia" w:ascii="Times New Roman" w:hAnsi="Times New Roman" w:eastAsia="宋体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Ⅰ化学反应原理试题分析及其备考策略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朱林增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关于一道工艺流程题的思考——2020年全国理综卷</w:t>
            </w:r>
            <w:r>
              <w:rPr>
                <w:rFonts w:hint="eastAsia" w:ascii="Times New Roman" w:hAnsi="Times New Roman" w:eastAsia="宋体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Ⅰ化学卷第26题试题分析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盖尾中学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陈金质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在新高考评价体系下的2020年高考化学试题分析——以2020年全国</w:t>
            </w:r>
            <w:r>
              <w:rPr>
                <w:rFonts w:hint="eastAsia" w:ascii="Times New Roman" w:hAnsi="Times New Roman" w:eastAsia="宋体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Ⅰ卷、山东卷高考化学试题为例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徐岭嶒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探索高考中氧化还原反应考查的角度——以2020年高考全国</w:t>
            </w:r>
            <w:r>
              <w:rPr>
                <w:rFonts w:hint="eastAsia" w:ascii="Times New Roman" w:hAnsi="Times New Roman" w:eastAsia="宋体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Ⅰ卷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为例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融入真实情境，聚焦学科素养——关于2020年高考理综生物试题的思考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陈腾飞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基于生物学核心素养的能力提升——2020年全国高考</w:t>
            </w:r>
            <w:r>
              <w:rPr>
                <w:rFonts w:hint="eastAsia" w:ascii="Times New Roman" w:hAnsi="Times New Roman" w:eastAsia="宋体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Ⅰ卷生物试题评析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  <w:sectPr>
          <w:pgSz w:w="16838" w:h="11906" w:orient="landscape"/>
          <w:pgMar w:top="1463" w:right="1440" w:bottom="146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4"/>
        <w:tblW w:w="9212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77"/>
        <w:gridCol w:w="654"/>
        <w:gridCol w:w="117"/>
        <w:gridCol w:w="614"/>
        <w:gridCol w:w="157"/>
        <w:gridCol w:w="574"/>
        <w:gridCol w:w="197"/>
        <w:gridCol w:w="534"/>
        <w:gridCol w:w="237"/>
        <w:gridCol w:w="494"/>
        <w:gridCol w:w="277"/>
        <w:gridCol w:w="454"/>
        <w:gridCol w:w="317"/>
        <w:gridCol w:w="761"/>
        <w:gridCol w:w="10"/>
        <w:gridCol w:w="721"/>
        <w:gridCol w:w="50"/>
        <w:gridCol w:w="681"/>
        <w:gridCol w:w="90"/>
        <w:gridCol w:w="641"/>
        <w:gridCol w:w="1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00" w:hRule="atLeast"/>
        </w:trPr>
        <w:tc>
          <w:tcPr>
            <w:tcW w:w="90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附件三       仙游县2020年中考试题评析征文情况统计表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37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法治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私立一中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华文学校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斜尾中学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枫江中学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昌山中学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大济中学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榜头中学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蔡襄中学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道德二中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石马中学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南溪中学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枫亭中学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锦溪中学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金沙中学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凤山学校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425" w:hRule="exact"/>
        </w:trPr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有效征文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1797" w:hRule="exact"/>
        </w:trPr>
        <w:tc>
          <w:tcPr>
            <w:tcW w:w="9082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25" w:leftChars="50" w:right="105" w:rightChars="50" w:hanging="720" w:hangingChars="30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备注：1.全县共24所中学报送试题评析论文，其中完全中学有12所参报。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2.各学科中考征文共报送137篇，其中有效征文122篇。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3.无效征文中有4篇查重率超标（&gt;15%），语文、物理、道德与法治、地理各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23" w:leftChars="392" w:right="105" w:rightChars="50" w:firstLine="240" w:firstLineChars="10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1篇；11篇无检索报告，语文、数学、物理、化学各1篇，英语、道德与法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23" w:leftChars="392" w:right="105" w:rightChars="50" w:firstLine="240" w:firstLineChars="10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治各2篇，历史4篇。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附件四         仙游县2020年高考试题评析征文情况统计表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榜头中学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私立一中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大济中学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枫亭中学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盖尾中学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龙华中学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郊尾中学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华侨三中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华文学校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有效征文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12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备注：1.全县各学科高考征文共报送112篇，除华侨三中和华文学校各报送1篇外，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23" w:leftChars="392" w:right="105" w:rightChars="50" w:firstLine="240" w:firstLineChars="100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15所高中校共报送110篇，有效征文共101篇。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2.无效征文中有3篇查重率超标（&gt;15%），政治2篇，历史1篇；5篇无检索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 w:firstLine="960" w:firstLineChars="400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报告，语文、英语、物理、地理、历史各1篇；化学3篇格式不符。</w:t>
            </w:r>
          </w:p>
        </w:tc>
      </w:tr>
    </w:tbl>
    <w:p>
      <w:pPr>
        <w:rPr>
          <w:rFonts w:ascii="Times New Roman" w:hAnsi="Times New Roman" w:eastAsia="宋体"/>
        </w:rPr>
        <w:sectPr>
          <w:pgSz w:w="11906" w:h="16838"/>
          <w:pgMar w:top="1270" w:right="1417" w:bottom="1270" w:left="1417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rPr>
          <w:rFonts w:ascii="Times New Roman" w:hAnsi="Times New Roman" w:eastAsia="宋体"/>
        </w:rPr>
      </w:pP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D39BC"/>
    <w:rsid w:val="05233957"/>
    <w:rsid w:val="07951596"/>
    <w:rsid w:val="09D82213"/>
    <w:rsid w:val="0C8B5FB3"/>
    <w:rsid w:val="0F22426D"/>
    <w:rsid w:val="0FAE5F97"/>
    <w:rsid w:val="12F35C86"/>
    <w:rsid w:val="134A0EC1"/>
    <w:rsid w:val="13A97E02"/>
    <w:rsid w:val="13B31E4E"/>
    <w:rsid w:val="154D76FE"/>
    <w:rsid w:val="166A45CB"/>
    <w:rsid w:val="16833FDC"/>
    <w:rsid w:val="194E3599"/>
    <w:rsid w:val="1A6A6A26"/>
    <w:rsid w:val="1D863397"/>
    <w:rsid w:val="1E122062"/>
    <w:rsid w:val="1E297077"/>
    <w:rsid w:val="20E4181F"/>
    <w:rsid w:val="21F86FD3"/>
    <w:rsid w:val="22D91B17"/>
    <w:rsid w:val="2302208C"/>
    <w:rsid w:val="267C1E9C"/>
    <w:rsid w:val="27FF5B45"/>
    <w:rsid w:val="28830C5D"/>
    <w:rsid w:val="2A972DE6"/>
    <w:rsid w:val="2B1E3CAC"/>
    <w:rsid w:val="2CF5567E"/>
    <w:rsid w:val="2E772DA9"/>
    <w:rsid w:val="30916414"/>
    <w:rsid w:val="34021E1F"/>
    <w:rsid w:val="37F41407"/>
    <w:rsid w:val="383F3AFF"/>
    <w:rsid w:val="3A5C4347"/>
    <w:rsid w:val="3EB81DC8"/>
    <w:rsid w:val="3ED21A85"/>
    <w:rsid w:val="413A519C"/>
    <w:rsid w:val="43534E25"/>
    <w:rsid w:val="453E2C64"/>
    <w:rsid w:val="4B0D2E6D"/>
    <w:rsid w:val="4D0E4ECA"/>
    <w:rsid w:val="4D31655E"/>
    <w:rsid w:val="4EC3605F"/>
    <w:rsid w:val="4FB31330"/>
    <w:rsid w:val="4FC24E31"/>
    <w:rsid w:val="5109659A"/>
    <w:rsid w:val="514A0A8B"/>
    <w:rsid w:val="53E17212"/>
    <w:rsid w:val="54134228"/>
    <w:rsid w:val="555D01E2"/>
    <w:rsid w:val="561B0E32"/>
    <w:rsid w:val="56E4289E"/>
    <w:rsid w:val="58DC1FE6"/>
    <w:rsid w:val="59DF2B53"/>
    <w:rsid w:val="5A042002"/>
    <w:rsid w:val="5AC302FA"/>
    <w:rsid w:val="5F2415C2"/>
    <w:rsid w:val="5FBF270E"/>
    <w:rsid w:val="60636593"/>
    <w:rsid w:val="60E749DA"/>
    <w:rsid w:val="62004C9D"/>
    <w:rsid w:val="63DB3988"/>
    <w:rsid w:val="678F59EA"/>
    <w:rsid w:val="69346EED"/>
    <w:rsid w:val="69381D4B"/>
    <w:rsid w:val="6B6B325A"/>
    <w:rsid w:val="6BC530F8"/>
    <w:rsid w:val="6CA537B3"/>
    <w:rsid w:val="6D866086"/>
    <w:rsid w:val="6F95504E"/>
    <w:rsid w:val="6FE7676F"/>
    <w:rsid w:val="70113433"/>
    <w:rsid w:val="713F2BC9"/>
    <w:rsid w:val="71B96284"/>
    <w:rsid w:val="72231B93"/>
    <w:rsid w:val="739C2136"/>
    <w:rsid w:val="73FD51AB"/>
    <w:rsid w:val="77362EA5"/>
    <w:rsid w:val="774E2F8C"/>
    <w:rsid w:val="77B4380B"/>
    <w:rsid w:val="78110888"/>
    <w:rsid w:val="78134389"/>
    <w:rsid w:val="7B502B0F"/>
    <w:rsid w:val="7B5B4798"/>
    <w:rsid w:val="7E3C2B54"/>
    <w:rsid w:val="7E7552F0"/>
    <w:rsid w:val="7E835874"/>
    <w:rsid w:val="7F374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hls</dc:creator>
  <cp:lastModifiedBy>晓风柳岸</cp:lastModifiedBy>
  <cp:lastPrinted>2020-11-12T03:12:00Z</cp:lastPrinted>
  <dcterms:modified xsi:type="dcterms:W3CDTF">2020-11-13T07:49:31Z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