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2.0.0 -->
  <w:body>
    <w:p w:rsidR="00A77B3E">
      <w:pPr>
        <w:keepLines w:val="0"/>
        <w:spacing w:after="400" w:line="360" w:lineRule="auto"/>
        <w:ind w:firstLine="120"/>
        <w:jc w:val="center"/>
      </w:pPr>
      <w:r>
        <w:rPr>
          <w:b/>
          <w:sz w:val="32"/>
        </w:rPr>
        <w:t>七下第十课《法律伴我们成长》（4月7日）</w:t>
      </w:r>
    </w:p>
    <w:p w:rsidR="00A77B3E">
      <w:pPr>
        <w:rPr>
          <w:b/>
          <w:sz w:val="32"/>
        </w:rPr>
      </w:pPr>
    </w:p>
    <w:p>
      <w:pPr>
        <w:bidi w:val="0"/>
      </w:pPr>
      <w:r>
        <w:rPr>
          <w:rStyle w:val="DefaultParagraphFont"/>
          <w:color w:val="666666"/>
          <w:bdr w:val="nil"/>
          <w:rtl w:val="0"/>
        </w:rPr>
        <w:t>1.本练习为《道德与法治》七下第十课（法律伴我们成长）练习。</w:t>
      </w:r>
      <w:r>
        <w:rPr>
          <w:rStyle w:val="DefaultParagraphFont"/>
          <w:color w:val="666666"/>
          <w:bdr w:val="nil"/>
          <w:rtl w:val="0"/>
        </w:rPr>
        <w:br/>
      </w:r>
      <w:r>
        <w:rPr>
          <w:rStyle w:val="DefaultParagraphFont"/>
          <w:color w:val="666666"/>
          <w:bdr w:val="nil"/>
          <w:rtl w:val="0"/>
        </w:rPr>
        <w:t>2.学校的名称请询问科任老师，按统一标准填写，便于统计；班级只需输入01、02、03.....11等数字即可。</w:t>
      </w:r>
    </w:p>
    <w:p>
      <w:pPr>
        <w:keepLines w:val="0"/>
        <w:spacing w:line="360" w:lineRule="auto"/>
        <w:jc w:val="left"/>
      </w:pPr>
    </w:p>
    <w:p>
      <w:pPr>
        <w:bidi w:val="0"/>
        <w:spacing w:line="360" w:lineRule="auto"/>
        <w:rPr>
          <w:rFonts w:ascii="Microsoft YaHei" w:eastAsia="Microsoft YaHei" w:hAnsi="Microsoft YaHei" w:cs="Microsoft YaHei"/>
          <w:sz w:val="28"/>
        </w:rPr>
      </w:pPr>
      <w:r>
        <w:rPr>
          <w:rStyle w:val="DefaultParagraphFont"/>
          <w:bdr w:val="nil"/>
          <w:rtl w:val="0"/>
        </w:rPr>
        <w:t xml:space="preserve">基本信息：[矩阵文本题] </w:t>
      </w:r>
      <w:r>
        <w:rPr>
          <w:rStyle w:val="DefaultParagraphFont"/>
          <w:color w:val="FF0000"/>
          <w:bdr w:val="nil"/>
          <w:rtl w:val="0"/>
        </w:rPr>
        <w:t>*</w:t>
      </w:r>
    </w:p>
    <w:tbl>
      <w:tblPr>
        <w:tblW w:w="5000" w:type="pct"/>
        <w:jc w:val="lef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CellMar>
          <w:top w:w="140" w:type="dxa"/>
          <w:left w:w="108" w:type="dxa"/>
          <w:right w:w="108" w:type="dxa"/>
        </w:tblCellMar>
      </w:tblPr>
      <w:tblGrid>
        <w:gridCol w:w="1200"/>
        <w:gridCol w:w="7400"/>
      </w:tblGrid>
      <w:tr>
        <w:tblPrEx>
          <w:tblW w:w="5000" w:type="pct"/>
          <w:jc w:val="lef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CellMar>
            <w:top w:w="140" w:type="dxa"/>
            <w:left w:w="108" w:type="dxa"/>
            <w:right w:w="108" w:type="dxa"/>
          </w:tblCellMar>
        </w:tblPrEx>
        <w:trPr>
          <w:trHeight w:val="360"/>
          <w:jc w:val="left"/>
        </w:trPr>
        <w:tc>
          <w:tcPr>
            <w:shd w:val="clear" w:color="auto" w:fill="D9E5ED"/>
            <w:vAlign w:val="center"/>
          </w:tcPr>
          <w:p>
            <w:pPr>
              <w:jc w:val="center"/>
            </w:pPr>
          </w:p>
        </w:tc>
        <w:tc>
          <w:tcPr>
            <w:shd w:val="clear" w:color="auto" w:fill="D9E5ED"/>
            <w:vAlign w:val="center"/>
          </w:tcPr>
          <w:p>
            <w:pPr>
              <w:spacing w:line="360" w:lineRule="auto"/>
              <w:jc w:val="center"/>
            </w:pPr>
          </w:p>
        </w:tc>
      </w:tr>
      <w:tr>
        <w:tblPrEx>
          <w:tblW w:w="5000" w:type="pct"/>
          <w:jc w:val="left"/>
          <w:tblLayout w:type="fixed"/>
          <w:tblCellMar>
            <w:top w:w="140" w:type="dxa"/>
            <w:left w:w="108" w:type="dxa"/>
            <w:right w:w="108" w:type="dxa"/>
          </w:tblCellMar>
        </w:tblPrEx>
        <w:trPr>
          <w:trHeight w:val="360"/>
          <w:jc w:val="left"/>
        </w:trPr>
        <w:tc>
          <w:tcPr>
            <w:shd w:val="clear" w:color="auto" w:fill="FFFFFF"/>
            <w:vAlign w:val="center"/>
          </w:tcPr>
          <w:p>
            <w:pPr>
              <w:spacing w:line="360" w:lineRule="auto"/>
              <w:jc w:val="center"/>
            </w:pPr>
            <w:r>
              <w:rPr>
                <w:color w:val="333333"/>
              </w:rPr>
              <w:t>学校：</w:t>
            </w:r>
          </w:p>
        </w:tc>
        <w:tc>
          <w:tcPr>
            <w:shd w:val="clear" w:color="auto" w:fill="FFFFFF"/>
            <w:vAlign w:val="center"/>
          </w:tcPr>
          <w:p>
            <w:pPr>
              <w:spacing w:line="360" w:lineRule="auto"/>
              <w:jc w:val="center"/>
              <w:rPr>
                <w:color w:val="333333"/>
              </w:rPr>
            </w:pPr>
            <w:r>
              <w:rPr>
                <w:color w:val="333333"/>
              </w:rPr>
              <w:t>________________________</w:t>
            </w:r>
          </w:p>
        </w:tc>
      </w:tr>
      <w:tr>
        <w:tblPrEx>
          <w:tblW w:w="5000" w:type="pct"/>
          <w:jc w:val="left"/>
          <w:tblLayout w:type="fixed"/>
          <w:tblCellMar>
            <w:top w:w="140" w:type="dxa"/>
            <w:left w:w="108" w:type="dxa"/>
            <w:right w:w="108" w:type="dxa"/>
          </w:tblCellMar>
        </w:tblPrEx>
        <w:trPr>
          <w:trHeight w:val="360"/>
          <w:jc w:val="left"/>
        </w:trPr>
        <w:tc>
          <w:tcPr>
            <w:shd w:val="clear" w:color="auto" w:fill="EFF6FB"/>
            <w:vAlign w:val="center"/>
          </w:tcPr>
          <w:p>
            <w:pPr>
              <w:spacing w:line="360" w:lineRule="auto"/>
              <w:jc w:val="center"/>
              <w:rPr>
                <w:color w:val="333333"/>
              </w:rPr>
            </w:pPr>
            <w:r>
              <w:rPr>
                <w:color w:val="333333"/>
              </w:rPr>
              <w:t>班级：</w:t>
            </w:r>
          </w:p>
        </w:tc>
        <w:tc>
          <w:tcPr>
            <w:shd w:val="clear" w:color="auto" w:fill="EFF6FB"/>
            <w:vAlign w:val="center"/>
          </w:tcPr>
          <w:p>
            <w:pPr>
              <w:spacing w:line="360" w:lineRule="auto"/>
              <w:jc w:val="center"/>
              <w:rPr>
                <w:color w:val="333333"/>
              </w:rPr>
            </w:pPr>
            <w:r>
              <w:rPr>
                <w:color w:val="333333"/>
              </w:rPr>
              <w:t>________________________</w:t>
            </w:r>
          </w:p>
        </w:tc>
      </w:tr>
      <w:tr>
        <w:tblPrEx>
          <w:tblW w:w="5000" w:type="pct"/>
          <w:jc w:val="left"/>
          <w:tblLayout w:type="fixed"/>
          <w:tblCellMar>
            <w:top w:w="140" w:type="dxa"/>
            <w:left w:w="108" w:type="dxa"/>
            <w:right w:w="108" w:type="dxa"/>
          </w:tblCellMar>
        </w:tblPrEx>
        <w:trPr>
          <w:trHeight w:val="360"/>
          <w:jc w:val="left"/>
        </w:trPr>
        <w:tc>
          <w:tcPr>
            <w:shd w:val="clear" w:color="auto" w:fill="FFFFFF"/>
            <w:vAlign w:val="center"/>
          </w:tcPr>
          <w:p>
            <w:pPr>
              <w:spacing w:line="360" w:lineRule="auto"/>
              <w:jc w:val="center"/>
              <w:rPr>
                <w:color w:val="333333"/>
              </w:rPr>
            </w:pPr>
            <w:r>
              <w:rPr>
                <w:color w:val="333333"/>
              </w:rPr>
              <w:t>姓名：</w:t>
            </w:r>
          </w:p>
        </w:tc>
        <w:tc>
          <w:tcPr>
            <w:shd w:val="clear" w:color="auto" w:fill="FFFFFF"/>
            <w:vAlign w:val="center"/>
          </w:tcPr>
          <w:p>
            <w:pPr>
              <w:spacing w:line="360" w:lineRule="auto"/>
              <w:jc w:val="center"/>
              <w:rPr>
                <w:color w:val="333333"/>
              </w:rPr>
            </w:pPr>
            <w:r>
              <w:rPr>
                <w:color w:val="333333"/>
              </w:rPr>
              <w:t>________________________</w:t>
            </w:r>
          </w:p>
        </w:tc>
      </w:tr>
      <w:tr>
        <w:tblPrEx>
          <w:tblW w:w="5000" w:type="pct"/>
          <w:jc w:val="left"/>
          <w:tblLayout w:type="fixed"/>
          <w:tblCellMar>
            <w:top w:w="140" w:type="dxa"/>
            <w:left w:w="108" w:type="dxa"/>
            <w:right w:w="108" w:type="dxa"/>
          </w:tblCellMar>
        </w:tblPrEx>
        <w:trPr>
          <w:trHeight w:val="360"/>
          <w:jc w:val="left"/>
        </w:trPr>
        <w:tc>
          <w:tcPr>
            <w:shd w:val="clear" w:color="auto" w:fill="EFF6FB"/>
            <w:vAlign w:val="center"/>
          </w:tcPr>
          <w:p>
            <w:pPr>
              <w:spacing w:line="360" w:lineRule="auto"/>
              <w:jc w:val="center"/>
              <w:rPr>
                <w:color w:val="333333"/>
              </w:rPr>
            </w:pPr>
            <w:r>
              <w:rPr>
                <w:color w:val="333333"/>
              </w:rPr>
              <w:t>座号：</w:t>
            </w:r>
          </w:p>
        </w:tc>
        <w:tc>
          <w:tcPr>
            <w:shd w:val="clear" w:color="auto" w:fill="EFF6FB"/>
            <w:vAlign w:val="center"/>
          </w:tcPr>
          <w:p>
            <w:pPr>
              <w:spacing w:line="360" w:lineRule="auto"/>
              <w:jc w:val="center"/>
              <w:rPr>
                <w:color w:val="333333"/>
              </w:rPr>
            </w:pPr>
            <w:r>
              <w:rPr>
                <w:color w:val="333333"/>
              </w:rPr>
              <w:t>________________________</w:t>
            </w:r>
          </w:p>
        </w:tc>
      </w:tr>
    </w:tbl>
    <w:p/>
    <w:p>
      <w:pPr>
        <w:bidi w:val="0"/>
        <w:spacing w:line="360" w:lineRule="auto"/>
      </w:pPr>
      <w:r>
        <w:rPr>
          <w:rStyle w:val="DefaultParagraphFont"/>
          <w:bdr w:val="nil"/>
          <w:rtl w:val="0"/>
        </w:rPr>
        <w:t xml:space="preserve">1. 卢梭说过，一切法律之中最重要的法律既不是铭刻在大理石上，也不是铭刻在铜表上，而是铭刻在公民们的内心里。这给予我们的启示是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A．被动接受法律的约束，充分体现法律自身的社会价值</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B．道德水平的大力提升，有助于推动法治文化环境建设</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C．否认道德的重要作用，增强公民法律意识和法制观念</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D．全社会树立法治意识，增强尊法守法的意识和自觉性</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 xml:space="preserve">2. 吸毒一口，误入虎口。据统计，我国累计登记吸毒人员295.5万名，估计实际人数超过1400万名，禁毒形势依然严峻。近年来时有曝光的明星、官员吸毒事件，严重污染了社会风气。明星、官员之所以吸毒，其根源在于他们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A．寻求精神刺激，借以激发灵感</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B．个人信仰缺失，法治观念淡薄</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C．从众心理严重，盲目猎奇跟风</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D．逃避现实问题，缓解心理压力</w:t>
            </w:r>
          </w:p>
        </w:tc>
      </w:tr>
    </w:tbl>
    <w:p/>
    <w:p>
      <w:pPr>
        <w:bidi w:val="0"/>
        <w:spacing w:line="360" w:lineRule="auto"/>
      </w:pPr>
      <w:r>
        <w:rPr>
          <w:rStyle w:val="DefaultParagraphFont"/>
          <w:bdr w:val="nil"/>
          <w:rtl w:val="0"/>
        </w:rPr>
        <w:t>3. 2019年5月31日，习近平在给澳门濠江中学附属英才学校的小朋友们回信中写道：你们是祖国的花朵，是澳门的未来。希望同学们不辜负杜岚老校长的期望，传承好爱国爱澳优良传统，珍惜时光，刻苦学习，健康成长，长大后为建设澳门、振兴中华多作贡献。这表明</w:t>
      </w:r>
      <w:r>
        <w:rPr>
          <w:rStyle w:val="DefaultParagraphFont"/>
          <w:bdr w:val="nil"/>
          <w:rtl w:val="0"/>
        </w:rPr>
        <w:br/>
      </w:r>
      <w:r>
        <w:rPr>
          <w:rStyle w:val="DefaultParagraphFont"/>
          <w:bdr w:val="nil"/>
          <w:rtl w:val="0"/>
        </w:rPr>
        <w:t>①未成年人的健康成长关系重大</w:t>
      </w:r>
      <w:r>
        <w:rPr>
          <w:rStyle w:val="DefaultParagraphFont"/>
          <w:bdr w:val="nil"/>
          <w:rtl w:val="0"/>
        </w:rPr>
        <w:br/>
      </w:r>
      <w:r>
        <w:rPr>
          <w:rStyle w:val="DefaultParagraphFont"/>
          <w:bdr w:val="nil"/>
          <w:rtl w:val="0"/>
        </w:rPr>
        <w:t>②未成年人是祖国未来，民族希望</w:t>
      </w:r>
      <w:r>
        <w:rPr>
          <w:rStyle w:val="DefaultParagraphFont"/>
          <w:bdr w:val="nil"/>
          <w:rtl w:val="0"/>
        </w:rPr>
        <w:br/>
      </w:r>
      <w:r>
        <w:rPr>
          <w:rStyle w:val="DefaultParagraphFont"/>
          <w:bdr w:val="nil"/>
          <w:rtl w:val="0"/>
        </w:rPr>
        <w:t>③启示我们要增强自我保护意识</w:t>
      </w:r>
      <w:r>
        <w:rPr>
          <w:rStyle w:val="DefaultParagraphFont"/>
          <w:bdr w:val="nil"/>
          <w:rtl w:val="0"/>
        </w:rPr>
        <w:br/>
      </w:r>
      <w:r>
        <w:rPr>
          <w:rStyle w:val="DefaultParagraphFont"/>
          <w:bdr w:val="nil"/>
          <w:rtl w:val="0"/>
        </w:rPr>
        <w:t xml:space="preserve">④法律赋予未成年人特殊的保护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B．①②</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C．①④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D．③④</w:t>
            </w:r>
          </w:p>
        </w:tc>
      </w:tr>
    </w:tbl>
    <w:p/>
    <w:p>
      <w:pPr>
        <w:bidi w:val="0"/>
        <w:spacing w:line="360" w:lineRule="auto"/>
      </w:pPr>
      <w:r>
        <w:rPr>
          <w:rStyle w:val="DefaultParagraphFont"/>
          <w:bdr w:val="nil"/>
          <w:rtl w:val="0"/>
        </w:rPr>
        <w:t xml:space="preserve">4. 在日常生活中，下列做法不符合依法办事的是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A．小倩上、下学路上都自觉遵守交通规则</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B．小明运用所学法律知识同不赡养老人的邻居讲理</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C．热心律师利用空闲时间，向社会宣传相关法律常识</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D．解决纠纷，用武力比诉讼解决起来更痛快、过瘾</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5. 法律护航，与法同行!周洋所在学习小组将以“特殊关爱•筑梦未来”为主题制作一期手抄报，周洋负责“社会保护”板块内容的编写。以下是他搜集的相关资料，你认为合适入选的是</w:t>
      </w:r>
      <w:r>
        <w:rPr>
          <w:rStyle w:val="DefaultParagraphFont"/>
          <w:bdr w:val="nil"/>
          <w:rtl w:val="0"/>
        </w:rPr>
        <w:br/>
      </w:r>
      <w:r>
        <w:rPr>
          <w:rStyle w:val="DefaultParagraphFont"/>
          <w:bdr w:val="nil"/>
          <w:rtl w:val="0"/>
        </w:rPr>
        <w:t>①2019年2月，《未成年人节目管理规定》已经国家广播电视总局局务会议审议通过</w:t>
      </w:r>
      <w:r>
        <w:rPr>
          <w:rStyle w:val="DefaultParagraphFont"/>
          <w:bdr w:val="nil"/>
          <w:rtl w:val="0"/>
        </w:rPr>
        <w:br/>
      </w:r>
      <w:r>
        <w:rPr>
          <w:rStyle w:val="DefaultParagraphFont"/>
          <w:bdr w:val="nil"/>
          <w:rtl w:val="0"/>
        </w:rPr>
        <w:t>②2019年8月，暑假期间6岁的小萍要学钢琴，妈妈陪她一起上试听课，帮她精选授课老师</w:t>
      </w:r>
      <w:r>
        <w:rPr>
          <w:rStyle w:val="DefaultParagraphFont"/>
          <w:bdr w:val="nil"/>
          <w:rtl w:val="0"/>
        </w:rPr>
        <w:br/>
      </w:r>
      <w:r>
        <w:rPr>
          <w:rStyle w:val="DefaultParagraphFont"/>
          <w:bdr w:val="nil"/>
          <w:rtl w:val="0"/>
        </w:rPr>
        <w:t>③2019年11月，为了进一步优化学生膳食的营养结构,广益实验中学利用食堂管理制定营养餐模块来为中学生设计食堂营养餐</w:t>
      </w:r>
      <w:r>
        <w:rPr>
          <w:rStyle w:val="DefaultParagraphFont"/>
          <w:bdr w:val="nil"/>
          <w:rtl w:val="0"/>
        </w:rPr>
        <w:br/>
      </w:r>
      <w:r>
        <w:rPr>
          <w:rStyle w:val="DefaultParagraphFont"/>
          <w:bdr w:val="nil"/>
          <w:rtl w:val="0"/>
        </w:rPr>
        <w:t xml:space="preserve">④2020年1月，教育部下发通知，阻断疫情向校园蔓延，利用网络平台“停课不停学”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B．①④</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D．②④</w:t>
            </w:r>
          </w:p>
        </w:tc>
      </w:tr>
    </w:tbl>
    <w:p/>
    <w:p>
      <w:pPr>
        <w:bidi w:val="0"/>
        <w:spacing w:line="360" w:lineRule="auto"/>
      </w:pPr>
      <w:r>
        <w:rPr>
          <w:rStyle w:val="DefaultParagraphFont"/>
          <w:bdr w:val="nil"/>
          <w:rtl w:val="0"/>
        </w:rPr>
        <w:t>6. 近年来，我国法院少年司法工作坚持全方位拓展，逐步走上制度化、规范化轨道，逐渐形成“惩、防、教”紧密结合、“庭前、庭中、庭后、延伸”“四位一体”的特色少年审判保护体系。我国法院这样做</w:t>
      </w:r>
      <w:r>
        <w:rPr>
          <w:rStyle w:val="DefaultParagraphFont"/>
          <w:bdr w:val="nil"/>
          <w:rtl w:val="0"/>
        </w:rPr>
        <w:br/>
      </w:r>
      <w:r>
        <w:rPr>
          <w:rStyle w:val="DefaultParagraphFont"/>
          <w:bdr w:val="nil"/>
          <w:rtl w:val="0"/>
        </w:rPr>
        <w:t>①保护了未成年人的合法权益</w:t>
      </w:r>
      <w:r>
        <w:rPr>
          <w:rStyle w:val="DefaultParagraphFont"/>
          <w:bdr w:val="nil"/>
          <w:rtl w:val="0"/>
        </w:rPr>
        <w:br/>
      </w:r>
      <w:r>
        <w:rPr>
          <w:rStyle w:val="DefaultParagraphFont"/>
          <w:bdr w:val="nil"/>
          <w:rtl w:val="0"/>
        </w:rPr>
        <w:t>②加强了对未成年人的司法保护</w:t>
      </w:r>
      <w:r>
        <w:rPr>
          <w:rStyle w:val="DefaultParagraphFont"/>
          <w:bdr w:val="nil"/>
          <w:rtl w:val="0"/>
        </w:rPr>
        <w:br/>
      </w:r>
      <w:r>
        <w:rPr>
          <w:rStyle w:val="DefaultParagraphFont"/>
          <w:bdr w:val="nil"/>
          <w:rtl w:val="0"/>
        </w:rPr>
        <w:t>③不符合法律面前人人平等的原则</w:t>
      </w:r>
      <w:r>
        <w:rPr>
          <w:rStyle w:val="DefaultParagraphFont"/>
          <w:bdr w:val="nil"/>
          <w:rtl w:val="0"/>
        </w:rPr>
        <w:br/>
      </w:r>
      <w:r>
        <w:rPr>
          <w:rStyle w:val="DefaultParagraphFont"/>
          <w:bdr w:val="nil"/>
          <w:rtl w:val="0"/>
        </w:rPr>
        <w:t xml:space="preserve">④有利于杜绝未成年人违法犯罪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C．①②</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D．②④</w:t>
            </w:r>
          </w:p>
        </w:tc>
      </w:tr>
    </w:tbl>
    <w:p/>
    <w:p>
      <w:pPr>
        <w:bidi w:val="0"/>
        <w:spacing w:line="360" w:lineRule="auto"/>
      </w:pPr>
      <w:r>
        <w:rPr>
          <w:rStyle w:val="DefaultParagraphFont"/>
          <w:bdr w:val="nil"/>
          <w:rtl w:val="0"/>
        </w:rPr>
        <w:t xml:space="preserve">7. 世界卫生组织发表的《全球溺水报告》显示，溺水是我国未成年人非正常死亡的头号杀手。一份学生暑期溺水应对手册提出，面对同伴溺水，未成年人不可下水施救。对此，你的看法是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A．认同，未成年人增强自我防范意识是避免受到不法侵害的前提</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B．认同，未成年人发展不成熟，应该以保护生命为第一原则</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C．不认同，见义勇为是中华民族传统美德，我们不能见死不救</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D．不认同，生命是平等的，我们应该以自己的生命换取他人的生命</w:t>
            </w:r>
          </w:p>
        </w:tc>
      </w:tr>
    </w:tbl>
    <w:p/>
    <w:p>
      <w:pPr>
        <w:bidi w:val="0"/>
        <w:spacing w:line="360" w:lineRule="auto"/>
      </w:pPr>
      <w:r>
        <w:rPr>
          <w:rStyle w:val="DefaultParagraphFont"/>
          <w:bdr w:val="nil"/>
          <w:rtl w:val="0"/>
        </w:rPr>
        <w:t>8. 下列生活情景的做法和“保障未成年人合法权益的四道防线”的要求对应一致的是</w:t>
      </w:r>
      <w:r>
        <w:rPr>
          <w:rStyle w:val="DefaultParagraphFont"/>
          <w:bdr w:val="nil"/>
          <w:rtl w:val="0"/>
        </w:rPr>
        <w:br/>
      </w:r>
      <w:r>
        <w:rPr>
          <w:rStyle w:val="DefaultParagraphFont"/>
          <w:bdr w:val="nil"/>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283.5pt;width:530.25pt">
            <v:imagedata r:id="rId4" o:title=""/>
          </v:shape>
        </w:pict>
      </w:r>
      <w:r>
        <w:rPr>
          <w:rStyle w:val="DefaultParagraphFont"/>
          <w:bdr w:val="nil"/>
          <w:rtl w:val="0"/>
        </w:rPr>
        <w:t xml:space="preserve">[单选题]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C．③④</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D．②④</w:t>
            </w:r>
          </w:p>
        </w:tc>
      </w:tr>
    </w:tbl>
    <w:p/>
    <w:p>
      <w:pPr>
        <w:bidi w:val="0"/>
        <w:spacing w:line="360" w:lineRule="auto"/>
      </w:pPr>
      <w:r>
        <w:rPr>
          <w:rStyle w:val="DefaultParagraphFont"/>
          <w:bdr w:val="nil"/>
          <w:rtl w:val="0"/>
        </w:rPr>
        <w:t>9. 2018年12月25日，教育部办公厅印发了《关于严禁有害App进入中小学校园的通知》，要求各地采取有效措施，坚决防止有害App进入中小学校园。这引发了同学们对有害App的关注。你对下面两幅图的解读是</w:t>
      </w:r>
      <w:r>
        <w:rPr>
          <w:rStyle w:val="DefaultParagraphFont"/>
          <w:bdr w:val="nil"/>
          <w:rtl w:val="0"/>
        </w:rPr>
        <w:br/>
      </w:r>
      <w:r>
        <w:rPr>
          <w:rStyle w:val="DefaultParagraphFont"/>
          <w:bdr w:val="nil"/>
          <w:rtl w:val="0"/>
        </w:rPr>
        <w:pict>
          <v:shape id="_x0000_i1026" type="#_x0000_t75" style="height:244.5pt;width:530.25pt">
            <v:imagedata r:id="rId5" o:title=""/>
          </v:shape>
        </w:pict>
      </w:r>
      <w:r>
        <w:rPr>
          <w:rStyle w:val="DefaultParagraphFont"/>
          <w:bdr w:val="nil"/>
          <w:rtl w:val="0"/>
        </w:rPr>
        <w:t xml:space="preserve">[单选题]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A．有害App的泛滥说明未成年人的权利很容易受到侵犯，没有得到社会保护</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B．“坑娃” 的有害App侵犯了未成年人的名誉权、隐私权和受教育权</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C．图二表明，加强家庭、学校和司法的保护，可以避免未成年人受到侵害</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D．由图二可知，任何法律都必须根据生活需要而制定，社会需要良法善治</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10. 有人说:“法律使人不敢犯罪，道德使人不愿犯罪。”这说明</w:t>
      </w:r>
      <w:r>
        <w:rPr>
          <w:rStyle w:val="DefaultParagraphFont"/>
          <w:bdr w:val="nil"/>
          <w:rtl w:val="0"/>
        </w:rPr>
        <w:br/>
      </w:r>
      <w:r>
        <w:rPr>
          <w:rStyle w:val="DefaultParagraphFont"/>
          <w:bdr w:val="nil"/>
          <w:rtl w:val="0"/>
        </w:rPr>
        <w:t>①道德比法律更加有效</w:t>
      </w:r>
      <w:r>
        <w:rPr>
          <w:rStyle w:val="DefaultParagraphFont"/>
          <w:bdr w:val="nil"/>
          <w:rtl w:val="0"/>
        </w:rPr>
        <w:br/>
      </w:r>
      <w:r>
        <w:rPr>
          <w:rStyle w:val="DefaultParagraphFont"/>
          <w:bdr w:val="nil"/>
          <w:rtl w:val="0"/>
        </w:rPr>
        <w:t>②法律比道德更加有效</w:t>
      </w:r>
      <w:r>
        <w:rPr>
          <w:rStyle w:val="DefaultParagraphFont"/>
          <w:bdr w:val="nil"/>
          <w:rtl w:val="0"/>
        </w:rPr>
        <w:br/>
      </w:r>
      <w:r>
        <w:rPr>
          <w:rStyle w:val="DefaultParagraphFont"/>
          <w:bdr w:val="nil"/>
          <w:rtl w:val="0"/>
        </w:rPr>
        <w:t>③法治以其权威性和强制性手段规范全体社会成员的行为</w:t>
      </w:r>
      <w:r>
        <w:rPr>
          <w:rStyle w:val="DefaultParagraphFont"/>
          <w:bdr w:val="nil"/>
          <w:rtl w:val="0"/>
        </w:rPr>
        <w:br/>
      </w:r>
      <w:r>
        <w:rPr>
          <w:rStyle w:val="DefaultParagraphFont"/>
          <w:bdr w:val="nil"/>
          <w:rtl w:val="0"/>
        </w:rPr>
        <w:t xml:space="preserve">④德治以其感召力和劝导力提高社会成员的思想认识和道德觉悟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C．②④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D．③④</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 xml:space="preserve">11. 习近平强调，领导干部要牢记法律红线不可逾越、法律底线不可触碰，带头营造办事依法、遇事找法、解决问题用法、化解矛盾靠法的法治环境。这表明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A．要维护他人和集体的合法权益</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B．依法办事就要遵守道德</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C．依法办事就要遵守各种法律法规</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D．法治对我们生活产生重要影响</w:t>
            </w:r>
          </w:p>
        </w:tc>
      </w:tr>
    </w:tbl>
    <w:p/>
    <w:p>
      <w:pPr>
        <w:bidi w:val="0"/>
        <w:spacing w:line="360" w:lineRule="auto"/>
      </w:pPr>
      <w:r>
        <w:rPr>
          <w:rStyle w:val="DefaultParagraphFont"/>
          <w:bdr w:val="nil"/>
          <w:rtl w:val="0"/>
        </w:rPr>
        <w:t>12. 下图漫画《维权》给我们带来的启示有</w:t>
      </w:r>
      <w:r>
        <w:rPr>
          <w:rStyle w:val="DefaultParagraphFont"/>
          <w:bdr w:val="nil"/>
          <w:rtl w:val="0"/>
        </w:rPr>
        <w:br/>
      </w:r>
      <w:r>
        <w:rPr>
          <w:rStyle w:val="DefaultParagraphFont"/>
          <w:bdr w:val="nil"/>
          <w:rtl w:val="0"/>
        </w:rPr>
        <w:pict>
          <v:shape id="_x0000_i1027" type="#_x0000_t75" style="height:179.25pt;width:267pt">
            <v:imagedata r:id="rId6" o:title=""/>
          </v:shape>
        </w:pict>
      </w:r>
      <w:r>
        <w:rPr>
          <w:rStyle w:val="DefaultParagraphFont"/>
          <w:bdr w:val="nil"/>
          <w:rtl w:val="0"/>
        </w:rPr>
        <w:br/>
      </w:r>
      <w:r>
        <w:rPr>
          <w:rStyle w:val="DefaultParagraphFont"/>
          <w:bdr w:val="nil"/>
          <w:rtl w:val="0"/>
        </w:rPr>
        <w:t>①要依法办事，增强法律意识</w:t>
      </w:r>
      <w:r>
        <w:rPr>
          <w:rStyle w:val="DefaultParagraphFont"/>
          <w:bdr w:val="nil"/>
          <w:rtl w:val="0"/>
        </w:rPr>
        <w:br/>
      </w:r>
      <w:r>
        <w:rPr>
          <w:rStyle w:val="DefaultParagraphFont"/>
          <w:bdr w:val="nil"/>
          <w:rtl w:val="0"/>
        </w:rPr>
        <w:t>②只要是表达自身合法的诉求和愿望，任何方式都可以</w:t>
      </w:r>
      <w:r>
        <w:rPr>
          <w:rStyle w:val="DefaultParagraphFont"/>
          <w:bdr w:val="nil"/>
          <w:rtl w:val="0"/>
        </w:rPr>
        <w:br/>
      </w:r>
      <w:r>
        <w:rPr>
          <w:rStyle w:val="DefaultParagraphFont"/>
          <w:bdr w:val="nil"/>
          <w:rtl w:val="0"/>
        </w:rPr>
        <w:t>③个人合法权益高于一切</w:t>
      </w:r>
      <w:r>
        <w:rPr>
          <w:rStyle w:val="DefaultParagraphFont"/>
          <w:bdr w:val="nil"/>
          <w:rtl w:val="0"/>
        </w:rPr>
        <w:br/>
      </w:r>
      <w:r>
        <w:rPr>
          <w:rStyle w:val="DefaultParagraphFont"/>
          <w:bdr w:val="nil"/>
          <w:rtl w:val="0"/>
        </w:rPr>
        <w:t>④禁止采用非法方式维护自身合法权益</w:t>
      </w:r>
      <w:r>
        <w:rPr>
          <w:rStyle w:val="DefaultParagraphFont"/>
          <w:bdr w:val="nil"/>
          <w:rtl w:val="0"/>
        </w:rPr>
        <w:br/>
      </w:r>
      <w:r>
        <w:rPr>
          <w:rStyle w:val="DefaultParagraphFont"/>
          <w:bdr w:val="nil"/>
          <w:rtl w:val="0"/>
        </w:rPr>
        <w:t xml:space="preserve">[单选题]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C．③④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D．①④</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 xml:space="preserve">13. 2019年1月3日，国务院新闻办举行新闻发布会称：最高人民检察院内增设第九检察厅，专门负责未成年人的检察工作，这一举措体现了对未成年人的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A．家庭保护</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B．社会保护</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C．司法保护</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D．学校保护</w:t>
            </w:r>
          </w:p>
        </w:tc>
      </w:tr>
    </w:tbl>
    <w:p/>
    <w:p>
      <w:pPr>
        <w:bidi w:val="0"/>
        <w:spacing w:line="360" w:lineRule="auto"/>
      </w:pPr>
      <w:r>
        <w:rPr>
          <w:rStyle w:val="DefaultParagraphFont"/>
          <w:bdr w:val="nil"/>
          <w:rtl w:val="0"/>
        </w:rPr>
        <w:t>14. 2018年秋，杭州市教育局正式发布了《关于推行小学生放学后托管服务工作的指导意见(试行)》。随后杭州很多小学为放学后无法及时接送的小学生提供了学后托管服务。这体现了</w:t>
      </w:r>
      <w:r>
        <w:rPr>
          <w:rStyle w:val="DefaultParagraphFont"/>
          <w:bdr w:val="nil"/>
          <w:rtl w:val="0"/>
        </w:rPr>
        <w:br/>
      </w:r>
      <w:r>
        <w:rPr>
          <w:rStyle w:val="DefaultParagraphFont"/>
          <w:bdr w:val="nil"/>
          <w:rtl w:val="0"/>
        </w:rPr>
        <w:t>①对未成年人的学校保护</w:t>
      </w:r>
      <w:r>
        <w:rPr>
          <w:rStyle w:val="DefaultParagraphFont"/>
          <w:bdr w:val="nil"/>
          <w:rtl w:val="0"/>
        </w:rPr>
        <w:br/>
      </w:r>
      <w:r>
        <w:rPr>
          <w:rStyle w:val="DefaultParagraphFont"/>
          <w:bdr w:val="nil"/>
          <w:rtl w:val="0"/>
        </w:rPr>
        <w:t>②对未成年人的家庭保护</w:t>
      </w:r>
      <w:r>
        <w:rPr>
          <w:rStyle w:val="DefaultParagraphFont"/>
          <w:bdr w:val="nil"/>
          <w:rtl w:val="0"/>
        </w:rPr>
        <w:br/>
      </w:r>
      <w:r>
        <w:rPr>
          <w:rStyle w:val="DefaultParagraphFont"/>
          <w:bdr w:val="nil"/>
          <w:rtl w:val="0"/>
        </w:rPr>
        <w:t>③对未成年人的特殊保护</w:t>
      </w:r>
      <w:r>
        <w:rPr>
          <w:rStyle w:val="DefaultParagraphFont"/>
          <w:bdr w:val="nil"/>
          <w:rtl w:val="0"/>
        </w:rPr>
        <w:br/>
      </w:r>
      <w:r>
        <w:rPr>
          <w:rStyle w:val="DefaultParagraphFont"/>
          <w:bdr w:val="nil"/>
          <w:rtl w:val="0"/>
        </w:rPr>
        <w:t xml:space="preserve">④立法机关提供法律保护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B．②④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C．③④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D．①③</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 xml:space="preserve">15. “家长整天打麻将不管孩子；某酒店招收一批15岁的女服务员；学校将14岁的某同学开除。”以上三种行为,分别违反了未成年人保护法对未成年人下列哪方面的保护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A．司法保护、社会保护、学校保护</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B．家庭保护、司法保护、学校保护</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C．家庭保护、社会保护、学校保护</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D．家庭保护、自我保护、学校保护</w:t>
            </w:r>
          </w:p>
        </w:tc>
      </w:tr>
    </w:tbl>
    <w:p/>
    <w:p/>
    <w:sectPr>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rPr>
      <w:sz w:val="24"/>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