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20" w:lineRule="exact"/>
        <w:ind w:left="0" w:leftChars="0" w:right="0" w:rightChars="0" w:firstLine="0" w:firstLineChars="0"/>
        <w:jc w:val="both"/>
        <w:textAlignment w:val="auto"/>
        <w:outlineLvl w:val="9"/>
        <w:rPr>
          <w:rFonts w:hint="eastAsia" w:ascii="宋体" w:hAnsi="宋体"/>
          <w:color w:val="FF0000"/>
          <w:spacing w:val="-48"/>
          <w:w w:val="85"/>
          <w:sz w:val="18"/>
          <w:szCs w:val="18"/>
        </w:rPr>
      </w:pPr>
    </w:p>
    <w:p>
      <w:pPr>
        <w:keepNext w:val="0"/>
        <w:keepLines w:val="0"/>
        <w:pageBreakBefore w:val="0"/>
        <w:widowControl w:val="0"/>
        <w:kinsoku/>
        <w:wordWrap/>
        <w:overflowPunct/>
        <w:topLinePunct w:val="0"/>
        <w:autoSpaceDE/>
        <w:autoSpaceDN/>
        <w:bidi w:val="0"/>
        <w:adjustRightInd/>
        <w:snapToGrid/>
        <w:spacing w:line="1020" w:lineRule="exact"/>
        <w:ind w:left="0" w:leftChars="0" w:right="0" w:rightChars="0" w:firstLine="0" w:firstLineChars="0"/>
        <w:jc w:val="both"/>
        <w:textAlignment w:val="auto"/>
        <w:outlineLvl w:val="9"/>
        <w:rPr>
          <w:rFonts w:hint="eastAsia" w:ascii="宋体" w:hAnsi="宋体"/>
          <w:color w:val="FF0000"/>
          <w:spacing w:val="-48"/>
          <w:w w:val="85"/>
          <w:sz w:val="18"/>
          <w:szCs w:val="18"/>
        </w:rPr>
      </w:pPr>
    </w:p>
    <w:p>
      <w:pPr>
        <w:keepNext w:val="0"/>
        <w:keepLines w:val="0"/>
        <w:pageBreakBefore w:val="0"/>
        <w:widowControl w:val="0"/>
        <w:kinsoku/>
        <w:wordWrap/>
        <w:overflowPunct/>
        <w:topLinePunct w:val="0"/>
        <w:autoSpaceDE/>
        <w:autoSpaceDN/>
        <w:bidi w:val="0"/>
        <w:adjustRightInd/>
        <w:snapToGrid/>
        <w:spacing w:line="1020" w:lineRule="exact"/>
        <w:ind w:left="0" w:leftChars="0" w:right="0" w:rightChars="0" w:firstLine="0" w:firstLineChars="0"/>
        <w:jc w:val="both"/>
        <w:textAlignment w:val="auto"/>
        <w:outlineLvl w:val="9"/>
        <w:rPr>
          <w:rFonts w:hint="eastAsia" w:ascii="宋体" w:hAnsi="宋体"/>
          <w:color w:val="FF0000"/>
          <w:spacing w:val="-48"/>
          <w:w w:val="85"/>
          <w:sz w:val="18"/>
          <w:szCs w:val="18"/>
        </w:rPr>
      </w:pPr>
    </w:p>
    <w:p>
      <w:pPr>
        <w:spacing w:line="1080" w:lineRule="exact"/>
        <w:jc w:val="center"/>
        <w:rPr>
          <w:rFonts w:hint="eastAsia" w:ascii="宋体" w:hAnsi="宋体"/>
          <w:color w:val="FF0000"/>
          <w:spacing w:val="-48"/>
          <w:w w:val="85"/>
          <w:sz w:val="96"/>
          <w:szCs w:val="96"/>
        </w:rPr>
      </w:pPr>
      <w:r>
        <w:rPr>
          <w:rFonts w:hint="eastAsia" w:ascii="宋体" w:hAnsi="宋体"/>
          <w:color w:val="FF0000"/>
          <w:spacing w:val="-48"/>
          <w:w w:val="85"/>
          <w:sz w:val="96"/>
          <w:szCs w:val="96"/>
        </w:rPr>
        <w:t>福建省教育厅办公室文件</w:t>
      </w:r>
    </w:p>
    <w:p>
      <w:pPr>
        <w:rPr>
          <w:rFonts w:hint="eastAsia" w:ascii="仿宋_GB2312" w:hAnsi="华文仿宋" w:eastAsia="仿宋_GB2312"/>
          <w:sz w:val="32"/>
          <w:szCs w:val="32"/>
        </w:rPr>
      </w:pPr>
    </w:p>
    <w:p>
      <w:pPr>
        <w:jc w:val="center"/>
        <w:rPr>
          <w:rFonts w:ascii="仿宋_GB2312" w:hAnsi="华文仿宋" w:eastAsia="仿宋_GB2312"/>
          <w:sz w:val="32"/>
          <w:szCs w:val="32"/>
        </w:rPr>
      </w:pPr>
      <w:bookmarkStart w:id="0" w:name="文件编号"/>
      <w:r>
        <w:rPr>
          <w:rFonts w:hint="eastAsia" w:ascii="仿宋_GB2312" w:hAnsi="华文仿宋" w:eastAsia="仿宋_GB2312" w:cs="仿宋_GB2312"/>
          <w:sz w:val="32"/>
          <w:szCs w:val="32"/>
        </w:rPr>
        <w:t>闽教办师〔</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8</w:t>
      </w:r>
      <w:r>
        <w:rPr>
          <w:rFonts w:hint="eastAsia" w:ascii="仿宋_GB2312" w:hAnsi="华文仿宋" w:eastAsia="仿宋_GB2312" w:cs="仿宋_GB2312"/>
          <w:sz w:val="32"/>
          <w:szCs w:val="32"/>
        </w:rPr>
        <w:t>〕</w:t>
      </w:r>
      <w:bookmarkEnd w:id="0"/>
      <w:r>
        <w:rPr>
          <w:rFonts w:hint="eastAsia" w:ascii="仿宋_GB2312" w:hAnsi="华文仿宋" w:eastAsia="仿宋_GB2312" w:cs="仿宋_GB2312"/>
          <w:sz w:val="32"/>
          <w:szCs w:val="32"/>
          <w:lang w:val="en-US" w:eastAsia="zh-CN"/>
        </w:rPr>
        <w:t>6</w:t>
      </w:r>
      <w:bookmarkStart w:id="2" w:name="_GoBack"/>
      <w:bookmarkEnd w:id="2"/>
      <w:r>
        <w:rPr>
          <w:rFonts w:hint="eastAsia" w:ascii="仿宋_GB2312" w:hAnsi="华文仿宋" w:eastAsia="仿宋_GB2312" w:cs="仿宋_GB2312"/>
          <w:sz w:val="32"/>
          <w:szCs w:val="32"/>
        </w:rPr>
        <w:t>号</w:t>
      </w:r>
    </w:p>
    <w:p>
      <w:pPr>
        <w:jc w:val="center"/>
      </w:pPr>
      <w:r>
        <mc:AlternateContent>
          <mc:Choice Requires="wps">
            <w:drawing>
              <wp:anchor distT="0" distB="0" distL="114300" distR="114300" simplePos="0" relativeHeight="251673600" behindDoc="0" locked="0" layoutInCell="1" allowOverlap="1">
                <wp:simplePos x="0" y="0"/>
                <wp:positionH relativeFrom="column">
                  <wp:posOffset>-134620</wp:posOffset>
                </wp:positionH>
                <wp:positionV relativeFrom="paragraph">
                  <wp:posOffset>1270</wp:posOffset>
                </wp:positionV>
                <wp:extent cx="5467350" cy="0"/>
                <wp:effectExtent l="0" t="14605" r="0" b="23495"/>
                <wp:wrapNone/>
                <wp:docPr id="4" name="直接连接符 4"/>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6pt;margin-top:0.1pt;height:0pt;width:430.5pt;z-index:251673600;mso-width-relative:page;mso-height-relative:page;" filled="f" stroked="t" coordsize="21600,21600" o:gfxdata="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43vKj1AAAAAUBAAAP&#10;AAAAAAAAAAEAIAAAACIAAABkcnMvZG93bnJldi54bWxQSwECFAAUAAAACACHTuJA/025quMBAACl&#10;AwAADgAAAAAAAAABACAAAAAjAQAAZHJzL2Uyb0RvYy54bWxQSwUGAAAAAAYABgBZAQAAe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福建省教育厅办公室关于推荐教师进修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院校建设重点支持项目的通知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各设区市、平潭综合实验区教育局：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sz w:val="32"/>
          <w:szCs w:val="32"/>
          <w:lang w:val="en-US" w:eastAsia="zh-CN"/>
        </w:rPr>
        <w:t>根据《福建省教育厅、省委编办、省财政厅、省人社厅关于加强教师进修院校建设的意见》（闽教师</w:t>
      </w:r>
      <w:r>
        <w:rPr>
          <w:rFonts w:hint="eastAsia" w:ascii="仿宋_GB2312" w:hAnsi="仿宋_GB2312" w:eastAsia="仿宋_GB2312" w:cs="仿宋_GB2312"/>
          <w:color w:val="000000"/>
          <w:sz w:val="32"/>
          <w:szCs w:val="32"/>
          <w:shd w:val="clear" w:color="auto" w:fill="FFFFFF"/>
        </w:rPr>
        <w:t>〔201</w:t>
      </w: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号</w:t>
      </w:r>
      <w:r>
        <w:rPr>
          <w:rFonts w:hint="eastAsia" w:ascii="仿宋_GB2312" w:hAnsi="仿宋_GB2312" w:eastAsia="仿宋_GB2312" w:cs="仿宋_GB2312"/>
          <w:color w:val="000000"/>
          <w:sz w:val="32"/>
          <w:szCs w:val="32"/>
          <w:shd w:val="clear" w:color="auto" w:fill="FFFFFF"/>
          <w:lang w:eastAsia="zh-CN"/>
        </w:rPr>
        <w:t>）和《福建省教育厅关于开展县级教师进修学校标准化建设与评估工作的意见）（</w:t>
      </w:r>
      <w:r>
        <w:rPr>
          <w:rFonts w:hint="eastAsia" w:ascii="仿宋_GB2312" w:hAnsi="仿宋_GB2312" w:eastAsia="仿宋_GB2312" w:cs="仿宋_GB2312"/>
          <w:sz w:val="32"/>
          <w:szCs w:val="32"/>
          <w:lang w:val="en-US" w:eastAsia="zh-CN"/>
        </w:rPr>
        <w:t>闽教师</w:t>
      </w:r>
      <w:r>
        <w:rPr>
          <w:rFonts w:hint="eastAsia" w:ascii="仿宋_GB2312" w:hAnsi="仿宋_GB2312" w:eastAsia="仿宋_GB2312" w:cs="仿宋_GB2312"/>
          <w:color w:val="000000"/>
          <w:sz w:val="32"/>
          <w:szCs w:val="32"/>
          <w:shd w:val="clear" w:color="auto" w:fill="FFFFFF"/>
        </w:rPr>
        <w:t>〔201</w:t>
      </w: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77号）精神，2022年前全省县级教师进修学校全面实现标准化，并建成一批示范校,每个设区市要建成1个功能完备的市级教师培训基地。为支持各级教师进修院校建设，我厅拟向省财政申请专项资金予以补助。现就项目学校推荐有关事项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各设区市和平潭综合实验区（不含厦门）各推荐1所重点建设的示范性县级教师进修学校或市级教师进修学院作为补助对象。推荐的示范性进修校应有良好的基础，培训质量高，能在市域范围起到示范引领作用，其示范性建设与评估应纳入2018年或2019年规划完成；推荐市级教师进修学院的，要有明确的补助项目，能有效提升市级培训支撑服务能力。推荐学校时要同时报送建设方案，包括学校基本情况、工作基础、建设项目、资金筹措方案、建设规划年限等，省级补助资金主要用于完善相关设施设备、场馆修缮等（不含基建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二、为了解各地推进县级教师进修学校标准化、示范性建设总体安排，请各地将区域内进修学校标准化和示范性建设规划年限一并报送，我厅将根据规划安排进一步研究相关支持政策。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三、推荐项目学校及建设方案、标准化和示范性建设规划年限书面材料请于2018年2月26日前报送我厅教师工作处，同时发送电子版。联系人：胡沁甡，电话：0591-87091527，邮箱：</w:t>
      </w:r>
      <w:r>
        <w:rPr>
          <w:rFonts w:hint="eastAsia" w:ascii="仿宋_GB2312" w:hAnsi="仿宋_GB2312" w:eastAsia="仿宋_GB2312" w:cs="仿宋_GB2312"/>
          <w:color w:val="auto"/>
          <w:sz w:val="32"/>
          <w:szCs w:val="32"/>
          <w:u w:val="none"/>
          <w:lang w:val="en-US" w:eastAsia="zh-CN"/>
        </w:rPr>
        <w:t>117652235@qq.com</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pacing w:val="-11"/>
          <w:sz w:val="32"/>
          <w:szCs w:val="32"/>
          <w:lang w:val="en-US" w:eastAsia="zh-CN"/>
        </w:rPr>
        <w:t>县级教师进修学校标准化、示范性建设规划年限表</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486" w:firstLineChars="1402"/>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福建省教育厅办公室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6" w:firstLineChars="1502"/>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2018年2月11日</w:t>
      </w:r>
    </w:p>
    <w:p>
      <w:pPr>
        <w:spacing w:line="600" w:lineRule="exact"/>
        <w:ind w:firstLine="160" w:firstLineChars="50"/>
        <w:rPr>
          <w:rFonts w:hint="eastAsia" w:ascii="仿宋_GB2312" w:eastAsia="仿宋_GB2312"/>
          <w:sz w:val="32"/>
          <w:szCs w:val="32"/>
        </w:rPr>
      </w:pPr>
      <w:r>
        <w:rPr>
          <w:rFonts w:hint="eastAsia" w:ascii="仿宋_GB2312" w:eastAsia="仿宋_GB2312"/>
          <w:sz w:val="32"/>
          <w:szCs w:val="32"/>
        </w:rPr>
        <w:t>（依申请公开）</w:t>
      </w:r>
    </w:p>
    <w:p>
      <w:pPr>
        <w:spacing w:line="620" w:lineRule="exact"/>
        <w:ind w:firstLine="140" w:firstLineChars="50"/>
        <w:rPr>
          <w:rFonts w:hint="eastAsia" w:ascii="仿宋_GB2312" w:eastAsia="仿宋_GB2312"/>
          <w:sz w:val="28"/>
          <w:szCs w:val="28"/>
        </w:rPr>
      </w:pPr>
      <w:bookmarkStart w:id="1" w:name="抄送"/>
      <w:bookmarkEnd w:id="1"/>
      <w:r>
        <w:rPr>
          <w:sz w:val="28"/>
          <w:szCs w:val="28"/>
        </w:rPr>
        <mc:AlternateContent>
          <mc:Choice Requires="wps">
            <w:drawing>
              <wp:anchor distT="0" distB="0" distL="114300" distR="114300" simplePos="0" relativeHeight="251663360" behindDoc="0" locked="0" layoutInCell="1" allowOverlap="1">
                <wp:simplePos x="0" y="0"/>
                <wp:positionH relativeFrom="column">
                  <wp:posOffset>94615</wp:posOffset>
                </wp:positionH>
                <wp:positionV relativeFrom="paragraph">
                  <wp:posOffset>45720</wp:posOffset>
                </wp:positionV>
                <wp:extent cx="527748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27748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45pt;margin-top:3.6pt;height:0pt;width:415.55pt;z-index:251663360;mso-width-relative:page;mso-height-relative:page;" filled="f" stroked="t" coordsize="21600,21600" o:gfxdata="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nnIoNEAAAAGAQAADwAA&#10;AAAAAAABACAAAAAiAAAAZHJzL2Rvd25yZXYueG1sUEsBAhQAFAAAAAgAh07iQHy51KTkAQAAnwMA&#10;AA4AAAAAAAAAAQAgAAAAIAEAAGRycy9lMm9Eb2MueG1sUEsFBgAAAAAGAAYAWQEAAHYFAAAAAA==&#10;">
                <v:fill on="f" focussize="0,0"/>
                <v:stroke weight="1pt" color="#000000" joinstyle="round"/>
                <v:imagedata o:title=""/>
                <o:lock v:ext="edit" aspectratio="f"/>
              </v:shap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391160</wp:posOffset>
                </wp:positionV>
                <wp:extent cx="527748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27748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45pt;margin-top:30.8pt;height:0pt;width:415.55pt;z-index:251661312;mso-width-relative:page;mso-height-relative:page;" filled="f" stroked="t" coordsize="21600,21600" o:gfxdata="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ophT7TAAAACAEAAA8A&#10;AAAAAAAAAQAgAAAAIgAAAGRycy9kb3ducmV2LnhtbFBLAQIUABQAAAAIAIdO4kAqv5Du4wEAAJ8D&#10;AAAOAAAAAAAAAAEAIAAAACIBAABkcnMvZTJvRG9jLnhtbFBLBQYAAAAABgAGAFkBAAB3BQAAAAA=&#10;">
                <v:fill on="f" focussize="0,0"/>
                <v:stroke weight="1pt" color="#000000" joinstyle="round"/>
                <v:imagedata o:title=""/>
                <o:lock v:ext="edit" aspectratio="f"/>
              </v:shape>
            </w:pict>
          </mc:Fallback>
        </mc:AlternateContent>
      </w:r>
      <w:r>
        <w:rPr>
          <w:rFonts w:hint="eastAsia" w:ascii="仿宋_GB2312" w:eastAsia="仿宋_GB2312" w:cs="仿宋_GB2312"/>
          <w:sz w:val="28"/>
          <w:szCs w:val="28"/>
        </w:rPr>
        <w:t>福建省教育厅办公室</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 xml:space="preserve"> 201</w:t>
      </w:r>
      <w:r>
        <w:rPr>
          <w:rFonts w:hint="eastAsia" w:ascii="仿宋_GB2312" w:eastAsia="仿宋_GB2312" w:cs="仿宋_GB2312"/>
          <w:sz w:val="28"/>
          <w:szCs w:val="28"/>
          <w:lang w:val="en-US" w:eastAsia="zh-CN"/>
        </w:rPr>
        <w:t>8</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2</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11</w:t>
      </w:r>
      <w:r>
        <w:rPr>
          <w:rFonts w:hint="eastAsia" w:ascii="仿宋_GB2312" w:eastAsia="仿宋_GB2312" w:cs="仿宋_GB2312"/>
          <w:sz w:val="28"/>
          <w:szCs w:val="28"/>
        </w:rPr>
        <w:t>日印发</w:t>
      </w:r>
    </w:p>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6" w:firstLineChars="1502"/>
        <w:textAlignment w:val="auto"/>
        <w:outlineLvl w:val="9"/>
        <w:rPr>
          <w:rFonts w:hint="eastAsia" w:ascii="仿宋_GB2312" w:hAnsi="仿宋_GB2312" w:eastAsia="仿宋_GB2312" w:cs="仿宋_GB2312"/>
          <w:spacing w:val="0"/>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县级教师进修学校标准化、示范性建设规划年限表</w:t>
      </w:r>
    </w:p>
    <w:p>
      <w:pPr>
        <w:keepNext w:val="0"/>
        <w:keepLines w:val="0"/>
        <w:pageBreakBefore w:val="0"/>
        <w:widowControl w:val="0"/>
        <w:kinsoku/>
        <w:wordWrap/>
        <w:overflowPunct/>
        <w:topLinePunct w:val="0"/>
        <w:autoSpaceDE/>
        <w:autoSpaceDN/>
        <w:bidi w:val="0"/>
        <w:adjustRightInd/>
        <w:snapToGrid/>
        <w:spacing w:before="161" w:beforeLines="50" w:line="600" w:lineRule="exact"/>
        <w:ind w:left="0" w:leftChars="0" w:right="0" w:rightChars="0" w:firstLine="0" w:firstLineChars="0"/>
        <w:jc w:val="left"/>
        <w:textAlignment w:val="auto"/>
        <w:outlineLvl w:val="9"/>
        <w:rPr>
          <w:rFonts w:hint="eastAsia" w:ascii="仿宋" w:hAnsi="仿宋" w:eastAsia="仿宋" w:cs="仿宋"/>
          <w:b w:val="0"/>
          <w:bCs w:val="0"/>
          <w:spacing w:val="0"/>
          <w:sz w:val="32"/>
          <w:szCs w:val="32"/>
          <w:u w:val="none"/>
          <w:lang w:val="en-US" w:eastAsia="zh-CN"/>
        </w:rPr>
      </w:pPr>
      <w:r>
        <w:rPr>
          <w:rFonts w:hint="eastAsia" w:ascii="仿宋" w:hAnsi="仿宋" w:eastAsia="仿宋" w:cs="仿宋"/>
          <w:b w:val="0"/>
          <w:bCs w:val="0"/>
          <w:spacing w:val="0"/>
          <w:sz w:val="32"/>
          <w:szCs w:val="32"/>
          <w:lang w:val="en-US" w:eastAsia="zh-CN"/>
        </w:rPr>
        <w:t>设区市（盖章）：</w:t>
      </w:r>
      <w:r>
        <w:rPr>
          <w:rFonts w:hint="eastAsia" w:ascii="仿宋" w:hAnsi="仿宋" w:eastAsia="仿宋" w:cs="仿宋"/>
          <w:b w:val="0"/>
          <w:bCs w:val="0"/>
          <w:spacing w:val="0"/>
          <w:sz w:val="32"/>
          <w:szCs w:val="32"/>
          <w:u w:val="single"/>
          <w:lang w:val="en-US" w:eastAsia="zh-CN"/>
        </w:rPr>
        <w:t xml:space="preserve">            </w:t>
      </w:r>
      <w:r>
        <w:rPr>
          <w:rFonts w:hint="eastAsia" w:ascii="仿宋" w:hAnsi="仿宋" w:eastAsia="仿宋" w:cs="仿宋"/>
          <w:b w:val="0"/>
          <w:bCs w:val="0"/>
          <w:spacing w:val="0"/>
          <w:sz w:val="32"/>
          <w:szCs w:val="32"/>
          <w:u w:val="none"/>
          <w:lang w:val="en-US" w:eastAsia="zh-CN"/>
        </w:rPr>
        <w:t xml:space="preserve">                                 填报日期：    年  月  日</w:t>
      </w:r>
    </w:p>
    <w:tbl>
      <w:tblPr>
        <w:tblStyle w:val="7"/>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018"/>
        <w:gridCol w:w="2018"/>
        <w:gridCol w:w="2018"/>
        <w:gridCol w:w="2018"/>
        <w:gridCol w:w="2018"/>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2017" w:type="dxa"/>
            <w:tcBorders>
              <w:tl2br w:val="single" w:color="auto" w:sz="4" w:space="0"/>
            </w:tcBorders>
            <w:vAlign w:val="center"/>
            <mc:AlternateContent>
              <mc:Choice Requires="wpsCustomData">
                <wpsCustomData:diagonals>
                  <wpsCustomData:diagonal from="10000" to="34600">
                    <wpsCustomData:border w:val="single" w:color="auto" w:sz="4" w:space="0"/>
                  </wpsCustomData:diagonal>
                  <wpsCustomData:diagonal from="10000" to="264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heme="minorEastAsia" w:hAnsiTheme="minorEastAsia" w:eastAsiaTheme="minorEastAsia" w:cstheme="minorEastAsia"/>
                <w:spacing w:val="0"/>
                <w:sz w:val="24"/>
                <w:szCs w:val="24"/>
                <w:vertAlign w:val="baseline"/>
                <w:lang w:val="en-US" w:eastAsia="zh-CN"/>
              </w:rPr>
            </w:pPr>
            <w:r>
              <w:rPr>
                <w:rFonts w:hint="eastAsia" w:asciiTheme="minorEastAsia" w:hAnsiTheme="minorEastAsia" w:eastAsiaTheme="minorEastAsia" w:cstheme="minorEastAsia"/>
                <w:spacing w:val="0"/>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mc:AlternateContent>
                <mc:Choice Requires="wpsCustomData">
                  <wpsCustomData:diagonalParaType/>
                </mc:Choice>
              </mc:AlternateContent>
              <w:rPr>
                <w:rFonts w:hint="eastAsia" w:asciiTheme="minorEastAsia" w:hAnsiTheme="minorEastAsia" w:eastAsiaTheme="minorEastAsia" w:cstheme="minorEastAsia"/>
                <w:spacing w:val="0"/>
                <w:sz w:val="24"/>
                <w:szCs w:val="24"/>
                <w:vertAlign w:val="baseline"/>
                <w:lang w:val="en-US" w:eastAsia="zh-CN"/>
              </w:rPr>
            </w:pPr>
            <w:r>
              <w:rPr>
                <w:rFonts w:hint="eastAsia" w:asciiTheme="minorEastAsia" w:hAnsiTheme="minorEastAsia" w:eastAsiaTheme="minorEastAsia" w:cstheme="minorEastAsia"/>
                <w:spacing w:val="0"/>
                <w:sz w:val="24"/>
                <w:szCs w:val="24"/>
                <w:vertAlign w:val="baseline"/>
                <w:lang w:val="en-US" w:eastAsia="zh-CN"/>
              </w:rPr>
              <w:t>类别</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Theme="minorEastAsia" w:hAnsiTheme="minorEastAsia" w:eastAsiaTheme="minorEastAsia" w:cstheme="minorEastAsia"/>
                <w:spacing w:val="0"/>
                <w:sz w:val="24"/>
                <w:szCs w:val="24"/>
                <w:vertAlign w:val="baseline"/>
                <w:lang w:val="en-US" w:eastAsia="zh-CN"/>
              </w:rPr>
            </w:pPr>
            <w:r>
              <w:rPr>
                <w:rFonts w:hint="eastAsia" w:asciiTheme="minorEastAsia" w:hAnsiTheme="minorEastAsia" w:eastAsiaTheme="minorEastAsia" w:cstheme="minorEastAsia"/>
                <w:spacing w:val="0"/>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Theme="minorEastAsia" w:hAnsiTheme="minorEastAsia" w:eastAsiaTheme="minorEastAsia" w:cstheme="minorEastAsia"/>
                <w:spacing w:val="0"/>
                <w:sz w:val="24"/>
                <w:szCs w:val="24"/>
                <w:vertAlign w:val="baseline"/>
                <w:lang w:val="en-US" w:eastAsia="zh-CN"/>
              </w:rPr>
            </w:pPr>
            <w:r>
              <w:rPr>
                <w:rFonts w:hint="eastAsia" w:asciiTheme="minorEastAsia" w:hAnsiTheme="minorEastAsia" w:eastAsiaTheme="minorEastAsia" w:cstheme="minorEastAsia"/>
                <w:spacing w:val="0"/>
                <w:sz w:val="24"/>
                <w:szCs w:val="24"/>
                <w:vertAlign w:val="baseline"/>
                <w:lang w:val="en-US" w:eastAsia="zh-CN"/>
              </w:rPr>
              <w:t>县（市区）</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mc:AlternateContent>
                <mc:Choice Requires="wpsCustomData">
                  <wpsCustomData:diagonalParaType/>
                </mc:Choice>
              </mc:AlternateContent>
              <w:rPr>
                <w:rFonts w:hint="eastAsia" w:asciiTheme="minorEastAsia" w:hAnsiTheme="minorEastAsia" w:eastAsiaTheme="minorEastAsia" w:cstheme="minorEastAsia"/>
                <w:spacing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heme="minorEastAsia" w:hAnsiTheme="minorEastAsia" w:eastAsiaTheme="minorEastAsia" w:cstheme="minorEastAsia"/>
                <w:spacing w:val="0"/>
                <w:sz w:val="24"/>
                <w:szCs w:val="24"/>
                <w:vertAlign w:val="baseline"/>
                <w:lang w:val="en-US" w:eastAsia="zh-CN"/>
              </w:rPr>
            </w:pPr>
            <w:r>
              <w:rPr>
                <w:rFonts w:hint="eastAsia" w:asciiTheme="minorEastAsia" w:hAnsiTheme="minorEastAsia" w:eastAsiaTheme="minorEastAsia" w:cstheme="minorEastAsia"/>
                <w:spacing w:val="0"/>
                <w:sz w:val="24"/>
                <w:szCs w:val="24"/>
                <w:vertAlign w:val="baseline"/>
                <w:lang w:val="en-US" w:eastAsia="zh-CN"/>
              </w:rPr>
              <w:t>年度</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spacing w:val="0"/>
                <w:sz w:val="32"/>
                <w:szCs w:val="32"/>
                <w:vertAlign w:val="baseline"/>
                <w:lang w:val="en-US" w:eastAsia="zh-CN"/>
              </w:rPr>
            </w:pPr>
            <w:r>
              <w:rPr>
                <w:rFonts w:hint="eastAsia" w:asciiTheme="minorEastAsia" w:hAnsiTheme="minorEastAsia" w:eastAsiaTheme="minorEastAsia" w:cstheme="minorEastAsia"/>
                <w:spacing w:val="0"/>
                <w:sz w:val="32"/>
                <w:szCs w:val="32"/>
                <w:vertAlign w:val="baseline"/>
                <w:lang w:val="en-US" w:eastAsia="zh-CN"/>
              </w:rPr>
              <w:t>2018年</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spacing w:val="0"/>
                <w:sz w:val="32"/>
                <w:szCs w:val="32"/>
                <w:vertAlign w:val="baseline"/>
                <w:lang w:val="en-US" w:eastAsia="zh-CN"/>
              </w:rPr>
            </w:pPr>
            <w:r>
              <w:rPr>
                <w:rFonts w:hint="eastAsia" w:asciiTheme="minorEastAsia" w:hAnsiTheme="minorEastAsia" w:eastAsiaTheme="minorEastAsia" w:cstheme="minorEastAsia"/>
                <w:spacing w:val="0"/>
                <w:sz w:val="32"/>
                <w:szCs w:val="32"/>
                <w:vertAlign w:val="baseline"/>
                <w:lang w:val="en-US" w:eastAsia="zh-CN"/>
              </w:rPr>
              <w:t>2019年</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spacing w:val="0"/>
                <w:sz w:val="32"/>
                <w:szCs w:val="32"/>
                <w:vertAlign w:val="baseline"/>
                <w:lang w:val="en-US" w:eastAsia="zh-CN"/>
              </w:rPr>
            </w:pPr>
            <w:r>
              <w:rPr>
                <w:rFonts w:hint="eastAsia" w:asciiTheme="minorEastAsia" w:hAnsiTheme="minorEastAsia" w:eastAsiaTheme="minorEastAsia" w:cstheme="minorEastAsia"/>
                <w:spacing w:val="0"/>
                <w:sz w:val="32"/>
                <w:szCs w:val="32"/>
                <w:vertAlign w:val="baseline"/>
                <w:lang w:val="en-US" w:eastAsia="zh-CN"/>
              </w:rPr>
              <w:t>2020年</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spacing w:val="0"/>
                <w:sz w:val="32"/>
                <w:szCs w:val="32"/>
                <w:vertAlign w:val="baseline"/>
                <w:lang w:val="en-US" w:eastAsia="zh-CN"/>
              </w:rPr>
            </w:pPr>
            <w:r>
              <w:rPr>
                <w:rFonts w:hint="eastAsia" w:asciiTheme="minorEastAsia" w:hAnsiTheme="minorEastAsia" w:eastAsiaTheme="minorEastAsia" w:cstheme="minorEastAsia"/>
                <w:spacing w:val="0"/>
                <w:sz w:val="32"/>
                <w:szCs w:val="32"/>
                <w:vertAlign w:val="baseline"/>
                <w:lang w:val="en-US" w:eastAsia="zh-CN"/>
              </w:rPr>
              <w:t>2021年</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spacing w:val="0"/>
                <w:sz w:val="32"/>
                <w:szCs w:val="32"/>
                <w:vertAlign w:val="baseline"/>
                <w:lang w:val="en-US" w:eastAsia="zh-CN"/>
              </w:rPr>
            </w:pPr>
            <w:r>
              <w:rPr>
                <w:rFonts w:hint="eastAsia" w:asciiTheme="minorEastAsia" w:hAnsiTheme="minorEastAsia" w:eastAsiaTheme="minorEastAsia" w:cstheme="minorEastAsia"/>
                <w:spacing w:val="0"/>
                <w:sz w:val="32"/>
                <w:szCs w:val="32"/>
                <w:vertAlign w:val="baseline"/>
                <w:lang w:val="en-US" w:eastAsia="zh-CN"/>
              </w:rPr>
              <w:t>2022年</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spacing w:val="0"/>
                <w:sz w:val="32"/>
                <w:szCs w:val="32"/>
                <w:vertAlign w:val="baseline"/>
                <w:lang w:val="en-US" w:eastAsia="zh-CN"/>
              </w:rPr>
            </w:pPr>
            <w:r>
              <w:rPr>
                <w:rFonts w:hint="eastAsia" w:asciiTheme="minorEastAsia" w:hAnsiTheme="minorEastAsia" w:eastAsiaTheme="minorEastAsia" w:cstheme="minorEastAsia"/>
                <w:spacing w:val="0"/>
                <w:sz w:val="32"/>
                <w:szCs w:val="32"/>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spacing w:val="0"/>
                <w:sz w:val="32"/>
                <w:szCs w:val="32"/>
                <w:vertAlign w:val="baseline"/>
                <w:lang w:val="en-US" w:eastAsia="zh-CN"/>
              </w:rPr>
            </w:pPr>
            <w:r>
              <w:rPr>
                <w:rFonts w:hint="eastAsia" w:asciiTheme="minorEastAsia" w:hAnsiTheme="minorEastAsia" w:eastAsiaTheme="minorEastAsia" w:cstheme="minorEastAsia"/>
                <w:spacing w:val="0"/>
                <w:sz w:val="32"/>
                <w:szCs w:val="32"/>
                <w:vertAlign w:val="baseline"/>
                <w:lang w:val="en-US" w:eastAsia="zh-CN"/>
              </w:rPr>
              <w:t>标准化学校</w:t>
            </w: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spacing w:val="0"/>
                <w:sz w:val="32"/>
                <w:szCs w:val="32"/>
                <w:vertAlign w:val="baseline"/>
                <w:lang w:val="en-US" w:eastAsia="zh-CN"/>
              </w:rPr>
            </w:pPr>
            <w:r>
              <w:rPr>
                <w:rFonts w:hint="eastAsia" w:asciiTheme="minorEastAsia" w:hAnsiTheme="minorEastAsia" w:eastAsiaTheme="minorEastAsia" w:cstheme="minorEastAsia"/>
                <w:spacing w:val="0"/>
                <w:sz w:val="32"/>
                <w:szCs w:val="32"/>
                <w:vertAlign w:val="baseline"/>
                <w:lang w:val="en-US" w:eastAsia="zh-CN"/>
              </w:rPr>
              <w:t>示范性学校</w:t>
            </w: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pacing w:val="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pacing w:val="0"/>
          <w:sz w:val="32"/>
          <w:szCs w:val="32"/>
          <w:lang w:val="en-US"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0000000000000000000"/>
    <w:charset w:val="86"/>
    <w:family w:val="auto"/>
    <w:pitch w:val="default"/>
    <w:sig w:usb0="00000000" w:usb1="00000000" w:usb2="00000010" w:usb3="00000000" w:csb0="0004009F" w:csb1="00000000"/>
  </w:font>
  <w:font w:name="方正仿宋简体">
    <w:altName w:val="宋体"/>
    <w:panose1 w:val="02010601030101010101"/>
    <w:charset w:val="86"/>
    <w:family w:val="auto"/>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等线">
    <w:altName w:val="宋体"/>
    <w:panose1 w:val="00000000000000000000"/>
    <w:charset w:val="86"/>
    <w:family w:val="auto"/>
    <w:pitch w:val="default"/>
    <w:sig w:usb0="00000000" w:usb1="00000000" w:usb2="00000016" w:usb3="00000000" w:csb0="0004000F" w:csb1="00000000"/>
  </w:font>
  <w:font w:name="方正楷体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93605"/>
    <w:rsid w:val="07093605"/>
    <w:rsid w:val="0FEB7CEA"/>
    <w:rsid w:val="114B492D"/>
    <w:rsid w:val="203208C7"/>
    <w:rsid w:val="29B6232B"/>
    <w:rsid w:val="2CE61948"/>
    <w:rsid w:val="44C2441C"/>
    <w:rsid w:val="4F230229"/>
    <w:rsid w:val="502817A4"/>
    <w:rsid w:val="656E144F"/>
    <w:rsid w:val="6C4F2222"/>
    <w:rsid w:val="70EB7476"/>
    <w:rsid w:val="721B2B56"/>
    <w:rsid w:val="77E13A36"/>
    <w:rsid w:val="7A34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2018-01-26T09:19:00Z</dcterms:created>
  <dc:creator>a</dc:creator>
  <cp:lastModifiedBy>Administrator</cp:lastModifiedBy>
  <cp:lastPrinted>2018-02-11T01:47:38Z</cp:lastPrinted>
  <dcterms:modified xsi:type="dcterms:W3CDTF">2018-02-11T01:58:15Z</dcterms:modified>
  <dc:title>福建省教育厅办公室关于推荐进修院校重点支持项目的通知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